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0 Capstone</w:t>
      </w:r>
    </w:p>
    <w:p>
      <w:pPr>
        <w:pStyle w:val="BodyText"/>
      </w:pPr>
      <w:r>
        <w:rPr>
          <w:i/>
          <w:iCs/>
        </w:rPr>
        <w:t xml:space="preserve">Editable template — Deliverable 4 of 4. Target length: EXACTLY 2 pages. Edit in Google Docs or Word. Replace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[BRACKETED]</w:t>
      </w:r>
      <w:r>
        <w:rPr>
          <w:i/>
          <w:iCs/>
        </w:rPr>
        <w:t xml:space="preserve"> </w:t>
      </w:r>
      <w:r>
        <w:rPr>
          <w:i/>
          <w:iCs/>
        </w:rPr>
        <w:t xml:space="preserve">prompt with your own writing. Remove every prompt and every italic guidance line before submission.</w:t>
      </w:r>
    </w:p>
    <w:p>
      <w:r>
        <w:pict>
          <v:rect style="width:0;height:1.5pt" o:hralign="center" o:hrstd="t" o:hr="t"/>
        </w:pict>
      </w:r>
    </w:p>
    <w:bookmarkStart w:id="10" w:name="deliverable-4-judgment-essay"/>
    <w:p>
      <w:pPr>
        <w:pStyle w:val="Heading1"/>
      </w:pPr>
      <w:r>
        <w:t xml:space="preserve">Deliverable 4 — Judgment essay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start writing:</w:t>
      </w:r>
    </w:p>
    <w:p>
      <w:pPr>
        <w:pStyle w:val="Compact"/>
        <w:numPr>
          <w:ilvl w:val="0"/>
          <w:numId w:val="1001"/>
        </w:numPr>
      </w:pPr>
      <w:r>
        <w:t xml:space="preserve">Have you finished D1 and D2? D4 must tie back to your own D1/D2 work — write them first.</w:t>
      </w:r>
    </w:p>
    <w:p>
      <w:pPr>
        <w:pStyle w:val="Compact"/>
        <w:numPr>
          <w:ilvl w:val="0"/>
          <w:numId w:val="1001"/>
        </w:numPr>
      </w:pPr>
      <w:r>
        <w:t xml:space="preserve">Have you read the four canons of the ISC2 Code of Ethics? You will name one by number in Part A.</w:t>
      </w:r>
    </w:p>
    <w:p>
      <w:pPr>
        <w:pStyle w:val="Compact"/>
        <w:numPr>
          <w:ilvl w:val="0"/>
          <w:numId w:val="1001"/>
        </w:numPr>
      </w:pPr>
      <w:r>
        <w:t xml:space="preserve">Are you prepared to write in your own voice, with personal judgment, not in the third-person analyst tone of D1/D2/D3? D4 is the only deliverable that is supposed to sound like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is the AI-resistant deliverable.</w:t>
      </w:r>
      <w:r>
        <w:t xml:space="preserve"> </w:t>
      </w:r>
      <w:r>
        <w:t xml:space="preserve">Two graders read every D4 independently. If both flag it as generic or untraceable to your own analysis, D4 earns zero, AND the AI-use penalty may apply. Write it yourself.</w:t>
      </w:r>
    </w:p>
    <w:p>
      <w:r>
        <w:pict>
          <v:rect style="width:0;height:1.5pt" o:hralign="center" o:hrstd="t" o:hr="t"/>
        </w:pict>
      </w:r>
    </w:p>
    <w:bookmarkStart w:id="9" w:name="Xa6eb4580137330e424956e7db18d91d3b009f76"/>
    <w:p>
      <w:pPr>
        <w:pStyle w:val="Heading2"/>
      </w:pPr>
      <w:r>
        <w:t xml:space="preserve">── Page 1 — Part A: The ethics call (350–450 words) ──</w:t>
      </w:r>
    </w:p>
    <w:bookmarkEnd w:id="9"/>
    <w:bookmarkEnd w:id="10"/>
    <w:bookmarkStart w:id="28" w:name="stage-0-capstone-deliverable-4"/>
    <w:p>
      <w:pPr>
        <w:pStyle w:val="Heading1"/>
      </w:pPr>
      <w:r>
        <w:t xml:space="preserve">Stage 0 Capstone · Deliverable 4</w:t>
      </w:r>
    </w:p>
    <w:bookmarkStart w:id="18" w:name="part-a-the-ethics-call"/>
    <w:p>
      <w:pPr>
        <w:pStyle w:val="Heading2"/>
      </w:pPr>
      <w:r>
        <w:t xml:space="preserve">Part A — The ethics call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[Your full name] · [UBI-2026-####] · [Date]</w:t>
      </w:r>
    </w:p>
    <w:bookmarkStart w:id="11" w:name="X60d6c408d7aaacd7f4a2d373847dda5a329a7f5"/>
    <w:p>
      <w:pPr>
        <w:pStyle w:val="Heading3"/>
      </w:pPr>
      <w:r>
        <w:t xml:space="preserve">The prompt (paste verbatim into your document)</w:t>
      </w:r>
    </w:p>
    <w:p>
      <w:pPr>
        <w:pStyle w:val="BlockText"/>
      </w:pPr>
      <w:r>
        <w:rPr>
          <w:i/>
          <w:iCs/>
        </w:rPr>
        <w:t xml:space="preserve">You are the new Tier-1 analyst. After finishing your D1 evidence table you realise the threat actor named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encoded-strings.txt</w:t>
      </w:r>
      <w:r>
        <w:rPr>
          <w:i/>
          <w:iCs/>
        </w:rPr>
        <w:t xml:space="preserve"> </w:t>
      </w:r>
      <w:r>
        <w:rPr>
          <w:i/>
          <w:iCs/>
        </w:rPr>
        <w:t xml:space="preserve">is the same actor active in tickets your predecessor closed as</w:t>
      </w:r>
      <w:r>
        <w:rPr>
          <w:i/>
          <w:iCs/>
        </w:rPr>
        <w:t xml:space="preserve"> </w:t>
      </w:r>
      <w:r>
        <w:rPr>
          <w:i/>
          <w:iCs/>
        </w:rPr>
        <w:t xml:space="preserve">“probably nothing”</w:t>
      </w:r>
      <w:r>
        <w:rPr>
          <w:i/>
          <w:iCs/>
        </w:rPr>
        <w:t xml:space="preserve">. You raise it with your direct manager. He says:</w:t>
      </w:r>
      <w:r>
        <w:rPr>
          <w:i/>
          <w:iCs/>
        </w:rPr>
        <w:t xml:space="preserve"> </w:t>
      </w:r>
      <w:r>
        <w:rPr>
          <w:i/>
          <w:iCs/>
        </w:rPr>
        <w:t xml:space="preserve">“Just close it. The senior VP whose account is involved is in board meetings all week, and we are not going to spoil his quarter.”</w:t>
      </w:r>
    </w:p>
    <w:p>
      <w:pPr>
        <w:pStyle w:val="BlockText"/>
      </w:pPr>
      <w:r>
        <w:rPr>
          <w:i/>
          <w:iCs/>
        </w:rPr>
        <w:t xml:space="preserve">Write your response.</w:t>
      </w:r>
    </w:p>
    <w:bookmarkEnd w:id="11"/>
    <w:bookmarkStart w:id="16" w:name="Xde17ebeb19f9ab5ba1c5d9cfb9c08fd12085283"/>
    <w:p>
      <w:pPr>
        <w:pStyle w:val="Heading3"/>
      </w:pPr>
      <w:r>
        <w:t xml:space="preserve">Your response (350–450 words — cover all four points below)</w:t>
      </w:r>
    </w:p>
    <w:bookmarkStart w:id="12" w:name="what-you-would-do-concretely"/>
    <w:p>
      <w:pPr>
        <w:pStyle w:val="Heading4"/>
      </w:pPr>
      <w:r>
        <w:t xml:space="preserve">1. What you would do, concretely</w:t>
      </w:r>
    </w:p>
    <w:p>
      <w:pPr>
        <w:pStyle w:val="FirstParagraph"/>
      </w:pPr>
      <w:r>
        <w:t xml:space="preserve">[Step by step.</w:t>
      </w:r>
      <w:r>
        <w:t xml:space="preserve"> </w:t>
      </w:r>
      <w:r>
        <w:t xml:space="preserve">“First, I would …. Second, I would …. Within 24 hours I would ….”</w:t>
      </w:r>
    </w:p>
    <w:p>
      <w:pPr>
        <w:pStyle w:val="BodyText"/>
      </w:pPr>
      <w:r>
        <w:t xml:space="preserve">Be specific about:</w:t>
      </w:r>
      <w:r>
        <w:t xml:space="preserve"> </w:t>
      </w:r>
      <w:r>
        <w:t xml:space="preserve">- The artefacts you would gather BEFORE doing anything else.</w:t>
      </w:r>
      <w:r>
        <w:t xml:space="preserve"> </w:t>
      </w:r>
      <w:r>
        <w:t xml:space="preserve">- The channels you would use (in-person, email, ticket, page).</w:t>
      </w:r>
      <w:r>
        <w:t xml:space="preserve"> </w:t>
      </w:r>
      <w:r>
        <w:t xml:space="preserve">- The people / roles you would loop in, and in what order.</w:t>
      </w:r>
      <w:r>
        <w:t xml:space="preserve"> </w:t>
      </w:r>
      <w:r>
        <w:t xml:space="preserve">- A timeframe — what happens in the first hour, first 4 hours, first 24 hours.]</w:t>
      </w:r>
    </w:p>
    <w:bookmarkEnd w:id="12"/>
    <w:bookmarkStart w:id="13" w:name="what-you-would-not-do-and-why"/>
    <w:p>
      <w:pPr>
        <w:pStyle w:val="Heading4"/>
      </w:pPr>
      <w:r>
        <w:t xml:space="preserve">2. What you would NOT do, and why</w:t>
      </w:r>
    </w:p>
    <w:p>
      <w:pPr>
        <w:pStyle w:val="FirstParagraph"/>
      </w:pPr>
      <w:r>
        <w:t xml:space="preserve">[At least one specific refusal, ideally two.</w:t>
      </w:r>
      <w:r>
        <w:t xml:space="preserve"> </w:t>
      </w:r>
      <w:r>
        <w:t xml:space="preserve">“I would not close the ticket as</w:t>
      </w:r>
      <w:r>
        <w:t xml:space="preserve"> </w:t>
      </w:r>
      <w:r>
        <w:rPr>
          <w:rStyle w:val="VerbatimChar"/>
        </w:rPr>
        <w:t xml:space="preserve">resolved-by-reference</w:t>
      </w:r>
      <w:r>
        <w:t xml:space="preserve">. I would not verbally agree in the standup to drop it.”</w:t>
      </w:r>
    </w:p>
    <w:p>
      <w:pPr>
        <w:pStyle w:val="BodyText"/>
      </w:pPr>
      <w:r>
        <w:t xml:space="preserve">Each refusal has a reason — name it.]</w:t>
      </w:r>
    </w:p>
    <w:bookmarkEnd w:id="13"/>
    <w:bookmarkStart w:id="14" w:name="Xf9fb706345363fe574a548ec79b23921c3b05b8"/>
    <w:p>
      <w:pPr>
        <w:pStyle w:val="Heading4"/>
      </w:pPr>
      <w:r>
        <w:t xml:space="preserve">3. The ISC2 Code of Ethics canon that applies</w:t>
      </w:r>
    </w:p>
    <w:p>
      <w:pPr>
        <w:pStyle w:val="FirstParagraph"/>
      </w:pPr>
      <w:r>
        <w:t xml:space="preserve">The four canons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 I:</w:t>
      </w:r>
      <w:r>
        <w:t xml:space="preserve"> </w:t>
      </w:r>
      <w:r>
        <w:t xml:space="preserve">Protect society, the common good, necessary public trust and confidence, and the infrastructure.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 II:</w:t>
      </w:r>
      <w:r>
        <w:t xml:space="preserve"> </w:t>
      </w:r>
      <w:r>
        <w:t xml:space="preserve">Act honorably, honestly, justly, responsibly, and legally.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 III:</w:t>
      </w:r>
      <w:r>
        <w:t xml:space="preserve"> </w:t>
      </w:r>
      <w:r>
        <w:t xml:space="preserve">Provide diligent and competent service to principals.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 IV:</w:t>
      </w:r>
      <w:r>
        <w:t xml:space="preserve"> </w:t>
      </w:r>
      <w:r>
        <w:t xml:space="preserve">Advance and protect the profession.</w:t>
      </w:r>
    </w:p>
    <w:p>
      <w:pPr>
        <w:pStyle w:val="FirstParagraph"/>
      </w:pPr>
      <w:r>
        <w:t xml:space="preserve">[Name ONE canon — Canon I, II, III, or IV — and explain in 2–3 sentences why it applies to THIS specific situation. Do not just paraphrase the canon. Connect it to the manager’s instruction and your refusal.</w:t>
      </w:r>
    </w:p>
    <w:p>
      <w:pPr>
        <w:pStyle w:val="BodyText"/>
      </w:pPr>
      <w:r>
        <w:rPr>
          <w:i/>
          <w:iCs/>
        </w:rPr>
        <w:t xml:space="preserve">Example structure:</w:t>
      </w:r>
      <w:r>
        <w:rPr>
          <w:i/>
          <w:iCs/>
        </w:rPr>
        <w:t xml:space="preserve"> </w:t>
      </w:r>
      <w:r>
        <w:rPr>
          <w:i/>
          <w:iCs/>
        </w:rPr>
        <w:t xml:space="preserve">“Canon I applies here. The compromised account exposed customer billing records of an unknown set of people; the manager’s instruction prioritises one party’s brand interest above those individuals’ right to be told. The canon orders these for us: society — which includes the customers whose data may have been touched — comes before the manager’s reputational concern.”</w:t>
      </w:r>
      <w:r>
        <w:t xml:space="preserve">]</w:t>
      </w:r>
    </w:p>
    <w:bookmarkEnd w:id="14"/>
    <w:bookmarkStart w:id="15" w:name="X91cdcd8d0894a1612dcae6e54b3fef419a0538c"/>
    <w:p>
      <w:pPr>
        <w:pStyle w:val="Heading4"/>
      </w:pPr>
      <w:r>
        <w:t xml:space="preserve">4. Who you would escalate to next, in what order, and what you would actually say</w:t>
      </w:r>
    </w:p>
    <w:p>
      <w:pPr>
        <w:pStyle w:val="FirstParagraph"/>
      </w:pPr>
      <w:r>
        <w:t xml:space="preserve">[Be specific — name the role, the channel (email, in-person, ticket comment), and a one-line version of your escalation message.</w:t>
      </w:r>
    </w:p>
    <w:p>
      <w:pPr>
        <w:pStyle w:val="BodyText"/>
      </w:pPr>
      <w:r>
        <w:rPr>
          <w:i/>
          <w:iCs/>
        </w:rPr>
        <w:t xml:space="preserve">Example structure:</w:t>
      </w:r>
      <w:r>
        <w:rPr>
          <w:i/>
          <w:iCs/>
        </w:rPr>
        <w:t xml:space="preserve"> </w:t>
      </w:r>
      <w:r>
        <w:rPr>
          <w:i/>
          <w:iCs/>
        </w:rPr>
        <w:t xml:space="preserve">“I would email the Head of Information Security within 4 hours, copying the Head of Legal, with subject</w:t>
      </w:r>
      <w:r>
        <w:rPr>
          <w:i/>
          <w:iCs/>
        </w:rPr>
        <w:t xml:space="preserve"> </w:t>
      </w:r>
      <w:r>
        <w:rPr>
          <w:i/>
          <w:iCs/>
        </w:rPr>
        <w:t xml:space="preserve">‘BWT-XXXXX — possible customer-data exposure, escalation requested’</w:t>
      </w:r>
      <w:r>
        <w:rPr>
          <w:i/>
          <w:iCs/>
        </w:rPr>
        <w:t xml:space="preserve">. The body would say:</w:t>
      </w:r>
      <w:r>
        <w:rPr>
          <w:i/>
          <w:iCs/>
        </w:rPr>
        <w:t xml:space="preserve"> </w:t>
      </w:r>
      <w:r>
        <w:rPr>
          <w:i/>
          <w:iCs/>
        </w:rPr>
        <w:t xml:space="preserve">‘I have evidence of customer-data exposure tied to [ticket] across [N] log entries between [date] and [date]. I have been asked to close the ticket. I have not. I would like 15 minutes today.’</w:t>
      </w:r>
      <w:r>
        <w:rPr>
          <w:i/>
          <w:iCs/>
        </w:rPr>
        <w:t xml:space="preserve">”</w:t>
      </w:r>
      <w:r>
        <w:t xml:space="preserve">]</w:t>
      </w:r>
    </w:p>
    <w:bookmarkEnd w:id="15"/>
    <w:bookmarkEnd w:id="16"/>
    <w:bookmarkStart w:id="17" w:name="demonstrate-the-trade-off"/>
    <w:p>
      <w:pPr>
        <w:pStyle w:val="Heading3"/>
      </w:pPr>
      <w:r>
        <w:t xml:space="preserve">Demonstrate the trade-off</w:t>
      </w:r>
    </w:p>
    <w:p>
      <w:pPr>
        <w:pStyle w:val="BlockText"/>
      </w:pPr>
      <w:r>
        <w:rPr>
          <w:b/>
          <w:bCs/>
        </w:rPr>
        <w:t xml:space="preserve">This is what separates a strong Part A from a weak one.</w:t>
      </w:r>
      <w:r>
        <w:t xml:space="preserve"> </w:t>
      </w:r>
      <w:r>
        <w:t xml:space="preserve">Name what the right choice COSTS you — your career, your relationship with the manager, the temporary disruption to the VP’s week — and explain why you choose the right thing anyway.</w:t>
      </w:r>
    </w:p>
    <w:p>
      <w:pPr>
        <w:pStyle w:val="FirstParagraph"/>
      </w:pPr>
      <w:r>
        <w:t xml:space="preserve">[Include 2–3 sentences acknowledging the cost. A grader who reads Part A without seeing the trade-off named will mark it as policy-recitation, not judgment.]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move to page 2, confirm Part A:</w:t>
      </w:r>
    </w:p>
    <w:p>
      <w:pPr>
        <w:pStyle w:val="Compact"/>
        <w:numPr>
          <w:ilvl w:val="0"/>
          <w:numId w:val="1003"/>
        </w:numPr>
      </w:pPr>
      <w:r>
        <w:t xml:space="preserve">Word count is 350–450.</w:t>
      </w:r>
    </w:p>
    <w:p>
      <w:pPr>
        <w:pStyle w:val="Compact"/>
        <w:numPr>
          <w:ilvl w:val="0"/>
          <w:numId w:val="1004"/>
        </w:numPr>
      </w:pPr>
      <w:r>
        <w:t xml:space="preserve">You named an ISC2 canon by number (I, II, III, or IV) AND explained why it applies to this specific situation.</w:t>
      </w:r>
    </w:p>
    <w:p>
      <w:pPr>
        <w:pStyle w:val="Compact"/>
        <w:numPr>
          <w:ilvl w:val="0"/>
          <w:numId w:val="1005"/>
        </w:numPr>
      </w:pPr>
      <w:r>
        <w:t xml:space="preserve">You named at least one specific action AND at least one specific refusal.</w:t>
      </w:r>
    </w:p>
    <w:p>
      <w:pPr>
        <w:pStyle w:val="Compact"/>
        <w:numPr>
          <w:ilvl w:val="0"/>
          <w:numId w:val="1006"/>
        </w:numPr>
      </w:pPr>
      <w:r>
        <w:t xml:space="preserve">You named the trade-off — what choosing the right thing costs you personally.</w:t>
      </w:r>
    </w:p>
    <w:p>
      <w:pPr>
        <w:pStyle w:val="Compact"/>
        <w:numPr>
          <w:ilvl w:val="0"/>
          <w:numId w:val="100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remain. No italic guidance lines remain.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age-2-part-b-the-scenario-300400-words"/>
    <w:p>
      <w:pPr>
        <w:pStyle w:val="Heading2"/>
      </w:pPr>
      <w:r>
        <w:t xml:space="preserve">── Page 2 — Part B: The scenario (300–400 words) ──</w:t>
      </w:r>
    </w:p>
    <w:bookmarkEnd w:id="19"/>
    <w:bookmarkStart w:id="27" w:name="part-b-the-scenario"/>
    <w:p>
      <w:pPr>
        <w:pStyle w:val="Heading2"/>
      </w:pPr>
      <w:r>
        <w:t xml:space="preserve">Part B — The scenario</w:t>
      </w:r>
    </w:p>
    <w:bookmarkStart w:id="20" w:name="X9d983e7d7f583e1173776f6e998e2011a134c64"/>
    <w:p>
      <w:pPr>
        <w:pStyle w:val="Heading3"/>
      </w:pPr>
      <w:r>
        <w:t xml:space="preserve">The prompt (paste verbatim into your document)</w:t>
      </w:r>
    </w:p>
    <w:p>
      <w:pPr>
        <w:pStyle w:val="BlockText"/>
      </w:pPr>
      <w:r>
        <w:rPr>
          <w:i/>
          <w:iCs/>
        </w:rPr>
        <w:t xml:space="preserve">At 04:47 WAT on a Tuesday, you (Tier-1 analyst on the night shift) receive this alert from the SIEM:</w:t>
      </w:r>
    </w:p>
    <w:p>
      <w:pPr>
        <w:pStyle w:val="BlockText"/>
      </w:pPr>
      <w:r>
        <w:rPr>
          <w:i/>
          <w:iCs/>
        </w:rPr>
        <w:t xml:space="preserve">User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o.adegoke</w:t>
      </w:r>
      <w:r>
        <w:rPr>
          <w:i/>
          <w:iCs/>
        </w:rPr>
        <w:t xml:space="preserve"> </w:t>
      </w:r>
      <w:r>
        <w:rPr>
          <w:i/>
          <w:iCs/>
        </w:rPr>
        <w:t xml:space="preserve">(Operations Manager) just authenticated via publickey from a residential ISP in Lagos. Her last successful login was 18:30 yesterday from the office. She is not on the on-call roster. Her offboarding ticket SD-40901 is open with the note</w:t>
      </w:r>
      <w:r>
        <w:rPr>
          <w:i/>
          <w:iCs/>
        </w:rPr>
        <w:t xml:space="preserve"> </w:t>
      </w:r>
      <w:r>
        <w:rPr>
          <w:i/>
          <w:iCs/>
        </w:rPr>
        <w:t xml:space="preserve">“departure date 30 June, key revocation pending”</w:t>
      </w:r>
      <w:r>
        <w:rPr>
          <w:i/>
          <w:iCs/>
        </w:rPr>
        <w:t xml:space="preserve">.</w:t>
      </w:r>
    </w:p>
    <w:p>
      <w:pPr>
        <w:pStyle w:val="BlockText"/>
      </w:pPr>
      <w:r>
        <w:rPr>
          <w:i/>
          <w:iCs/>
        </w:rPr>
        <w:t xml:space="preserve">You have 30 minutes before shift handover. What do you do?</w:t>
      </w:r>
    </w:p>
    <w:bookmarkEnd w:id="20"/>
    <w:bookmarkStart w:id="25" w:name="Xd66d36bfc7e2769ecab89f6ed53dc698ac07622"/>
    <w:p>
      <w:pPr>
        <w:pStyle w:val="Heading3"/>
      </w:pPr>
      <w:r>
        <w:t xml:space="preserve">Your response (300–400 words — walk through all four points)</w:t>
      </w:r>
    </w:p>
    <w:bookmarkStart w:id="21" w:name="what-you-investigated-first-and-why"/>
    <w:p>
      <w:pPr>
        <w:pStyle w:val="Heading4"/>
      </w:pPr>
      <w:r>
        <w:t xml:space="preserve">1. What you investigated FIRST and why</w:t>
      </w:r>
    </w:p>
    <w:p>
      <w:pPr>
        <w:pStyle w:val="FirstParagraph"/>
      </w:pPr>
      <w:r>
        <w:t xml:space="preserve">[Investigation order matters. Name your first three checks IN ORDER. For at least one of them, reference a finding from your own D1 table that informed why you would check that thing first.</w:t>
      </w:r>
    </w:p>
    <w:p>
      <w:pPr>
        <w:pStyle w:val="BodyText"/>
      </w:pPr>
      <w:r>
        <w:rPr>
          <w:i/>
          <w:iCs/>
        </w:rPr>
        <w:t xml:space="preserve">Example structure to adapt:</w:t>
      </w:r>
      <w:r>
        <w:rPr>
          <w:i/>
          <w:iCs/>
        </w:rPr>
        <w:t xml:space="preserve"> </w:t>
      </w:r>
      <w:r>
        <w:rPr>
          <w:i/>
          <w:iCs/>
        </w:rPr>
        <w:t xml:space="preserve">“I would investigate three things first, in this order. First, the timestamp of her last legitimate office session versus the time gap to the residential-ISP login — her normal pattern from the partner-portal logs is daytime-only, so a 04:47 access is itself the anomaly. Second, the status of SD-40901 — specifically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‘key revocation pending’</w:t>
      </w:r>
      <w:r>
        <w:rPr>
          <w:i/>
          <w:iCs/>
        </w:rPr>
        <w:t xml:space="preserve"> </w:t>
      </w:r>
      <w:r>
        <w:rPr>
          <w:i/>
          <w:iCs/>
        </w:rPr>
        <w:t xml:space="preserve">date has elapsed, because Lesson 1 from my D1 row 4 (the a.eze post-offboarding access) is that offboarding paperwork that does not enforce itself becomes the attack surface. Third, the publickey fingerprint — if it matches her registered key, this is harder to dismiss as a forged session; if it does not match, we have something closer to confirmation.”</w:t>
      </w:r>
      <w:r>
        <w:t xml:space="preserve">]</w:t>
      </w:r>
    </w:p>
    <w:bookmarkEnd w:id="21"/>
    <w:bookmarkStart w:id="22" w:name="Xf6eb4e412581d65c5be1f7c7ad81a317e76e9ee"/>
    <w:p>
      <w:pPr>
        <w:pStyle w:val="Heading4"/>
      </w:pPr>
      <w:r>
        <w:t xml:space="preserve">2. Who you escalated to and what specifically triggered it</w:t>
      </w:r>
    </w:p>
    <w:p>
      <w:pPr>
        <w:pStyle w:val="FirstParagraph"/>
      </w:pPr>
      <w:r>
        <w:t xml:space="preserve">[Be specific:</w:t>
      </w:r>
      <w:r>
        <w:t xml:space="preserve"> </w:t>
      </w:r>
      <w:r>
        <w:t xml:space="preserve">“When I saw [X], I would escalate to [role] via [channel] because [reason].”</w:t>
      </w:r>
    </w:p>
    <w:p>
      <w:pPr>
        <w:pStyle w:val="BodyText"/>
      </w:pPr>
      <w:r>
        <w:t xml:space="preserve">The trigger matters — name what would tip you over from investigation to escalation. The channel matters — name pager vs email vs in-person and why.]</w:t>
      </w:r>
    </w:p>
    <w:bookmarkEnd w:id="22"/>
    <w:bookmarkStart w:id="23" w:name="what-you-chose-not-to-do-and-why"/>
    <w:p>
      <w:pPr>
        <w:pStyle w:val="Heading4"/>
      </w:pPr>
      <w:r>
        <w:t xml:space="preserve">3. What you chose NOT to do, and why</w:t>
      </w:r>
    </w:p>
    <w:p>
      <w:pPr>
        <w:pStyle w:val="FirstParagraph"/>
      </w:pPr>
      <w:r>
        <w:t xml:space="preserve">[At least three specific refusals:</w:t>
      </w:r>
    </w:p>
    <w:p>
      <w:pPr>
        <w:pStyle w:val="Compact"/>
        <w:numPr>
          <w:ilvl w:val="0"/>
          <w:numId w:val="1008"/>
        </w:numPr>
      </w:pPr>
      <w:r>
        <w:t xml:space="preserve">Did you lock her account? Why or why not?</w:t>
      </w:r>
    </w:p>
    <w:p>
      <w:pPr>
        <w:pStyle w:val="Compact"/>
        <w:numPr>
          <w:ilvl w:val="0"/>
          <w:numId w:val="1008"/>
        </w:numPr>
      </w:pPr>
      <w:r>
        <w:t xml:space="preserve">Did you contact her directly? Why or why not?</w:t>
      </w:r>
    </w:p>
    <w:p>
      <w:pPr>
        <w:pStyle w:val="Compact"/>
        <w:numPr>
          <w:ilvl w:val="0"/>
          <w:numId w:val="1008"/>
        </w:numPr>
      </w:pPr>
      <w:r>
        <w:t xml:space="preserve">Did you involve HR at this stage? Why or why not?</w:t>
      </w:r>
    </w:p>
    <w:p>
      <w:pPr>
        <w:pStyle w:val="Compact"/>
        <w:numPr>
          <w:ilvl w:val="0"/>
          <w:numId w:val="1008"/>
        </w:numPr>
      </w:pPr>
      <w:r>
        <w:t xml:space="preserve">Did you open a fresh ticket or append to SD-40901? Why?</w:t>
      </w:r>
    </w:p>
    <w:p>
      <w:pPr>
        <w:pStyle w:val="FirstParagraph"/>
      </w:pPr>
      <w:r>
        <w:t xml:space="preserve">Each choice has a tradeoff. Name it. Restraint is part of judgment — a strong Part B shows you understand when NOT to act.]</w:t>
      </w:r>
    </w:p>
    <w:bookmarkEnd w:id="23"/>
    <w:bookmarkStart w:id="24" w:name="your-handover-note-for-the-next-shift"/>
    <w:p>
      <w:pPr>
        <w:pStyle w:val="Heading4"/>
      </w:pPr>
      <w:r>
        <w:t xml:space="preserve">4. Your handover note for the next shift</w:t>
      </w:r>
    </w:p>
    <w:p>
      <w:pPr>
        <w:pStyle w:val="FirstParagraph"/>
      </w:pPr>
      <w:r>
        <w:t xml:space="preserve">[2–3 sentences, written as you would actually send it. What state did you leave the investigation in? What does the morning shift need to pick up?</w:t>
      </w:r>
    </w:p>
    <w:p>
      <w:pPr>
        <w:pStyle w:val="BodyText"/>
      </w:pPr>
      <w:r>
        <w:rPr>
          <w:i/>
          <w:iCs/>
        </w:rPr>
        <w:t xml:space="preserve">Example structure:</w:t>
      </w:r>
      <w:r>
        <w:rPr>
          <w:i/>
          <w:iCs/>
        </w:rPr>
        <w:t xml:space="preserve"> </w:t>
      </w:r>
      <w:r>
        <w:rPr>
          <w:i/>
          <w:iCs/>
        </w:rPr>
        <w:t xml:space="preserve">“SD-40901 active. o.adegoke authenticated 04:47 from residential ISP; key fingerprint [match/mismatch] (see ticket SD-XXXXX I opened). Security on-call paged 05:02. No lock applied, no direct contact. Morning shift: confirm with o.adegoke via her registered work number, and only via that number, whether she initiated.”</w:t>
      </w:r>
      <w:r>
        <w:t xml:space="preserve">]</w:t>
      </w:r>
    </w:p>
    <w:bookmarkEnd w:id="24"/>
    <w:bookmarkEnd w:id="25"/>
    <w:bookmarkStart w:id="26" w:name="X731df867c93da4402a0bd75482bb52399e1aa14"/>
    <w:p>
      <w:pPr>
        <w:pStyle w:val="Heading3"/>
      </w:pPr>
      <w:r>
        <w:t xml:space="preserve">Tie at least one paragraph to your own D1 or D2 work</w:t>
      </w:r>
    </w:p>
    <w:p>
      <w:pPr>
        <w:pStyle w:val="BlockText"/>
      </w:pPr>
      <w:r>
        <w:rPr>
          <w:b/>
          <w:bCs/>
        </w:rPr>
        <w:t xml:space="preserve">This is the AI-resistance check.</w:t>
      </w:r>
      <w:r>
        <w:t xml:space="preserve"> </w:t>
      </w:r>
      <w:r>
        <w:t xml:space="preserve">A grader reading Part B should be able to tell it was written by someone who actually did Stage 0 — not by someone who could have been handed the scenario in isolation. Cite a specific row, ticket, or file from your earlier analysis.</w:t>
      </w:r>
    </w:p>
    <w:p>
      <w:pPr>
        <w:pStyle w:val="FirstParagraph"/>
      </w:pPr>
      <w:r>
        <w:t xml:space="preserve">[Make sure at least one paragraph above (1, 2, 3, or 4) references a specific row, ticket ID, or file from your own D1 or D2 work. Generic answers fail.]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pre-submission-checklist-for-d4"/>
    <w:p>
      <w:pPr>
        <w:pStyle w:val="Heading1"/>
      </w:pPr>
      <w:r>
        <w:t xml:space="preserve">Pre-submission checklist for D4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Exactly 2 pages.</w:t>
      </w:r>
      <w:r>
        <w:t xml:space="preserve"> </w:t>
      </w:r>
      <w:r>
        <w:t xml:space="preserve">Not 1.5, not 2.5.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Part A</w:t>
      </w:r>
      <w:r>
        <w:t xml:space="preserve"> </w:t>
      </w:r>
      <w:r>
        <w:t xml:space="preserve">is 350–450 words.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 B</w:t>
      </w:r>
      <w:r>
        <w:t xml:space="preserve"> </w:t>
      </w:r>
      <w:r>
        <w:t xml:space="preserve">is 300–400 words.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Part A</w:t>
      </w:r>
      <w:r>
        <w:t xml:space="preserve"> </w:t>
      </w:r>
      <w:r>
        <w:t xml:space="preserve">names an ISC2 canon by number and explains how it applies to this specific situation.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Part A</w:t>
      </w:r>
      <w:r>
        <w:t xml:space="preserve"> </w:t>
      </w:r>
      <w:r>
        <w:t xml:space="preserve">names at least one specific action and at least one specific refusal.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Part A</w:t>
      </w:r>
      <w:r>
        <w:t xml:space="preserve"> </w:t>
      </w:r>
      <w:r>
        <w:t xml:space="preserve">names the personal cost — what choosing the right thing costs you.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Part B</w:t>
      </w:r>
      <w:r>
        <w:t xml:space="preserve"> </w:t>
      </w:r>
      <w:r>
        <w:t xml:space="preserve">investigation order is explicit (three checks in order) and reasoned.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 B</w:t>
      </w:r>
      <w:r>
        <w:t xml:space="preserve"> </w:t>
      </w:r>
      <w:r>
        <w:t xml:space="preserve">escalation trigger is named specifically.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Part B</w:t>
      </w:r>
      <w:r>
        <w:t xml:space="preserve"> </w:t>
      </w:r>
      <w:r>
        <w:t xml:space="preserve">names what you chose NOT to do, and why, with at least three specific refusals.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Part B</w:t>
      </w:r>
      <w:r>
        <w:t xml:space="preserve"> </w:t>
      </w:r>
      <w:r>
        <w:t xml:space="preserve">handover note is written as you would actually send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 least one Part B paragraph</w:t>
      </w:r>
      <w:r>
        <w:t xml:space="preserve"> </w:t>
      </w:r>
      <w:r>
        <w:t xml:space="preserve">references a specific row, ticket, or file from your own D1 or D2.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Neither part reads like it could apply to any cohort or any case.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[BRACKETED]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is removed.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Every italic guidance line</w:t>
      </w:r>
      <w:r>
        <w:t xml:space="preserve"> </w:t>
      </w:r>
      <w:r>
        <w:t xml:space="preserve">is removed.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File saved as PDF or DOCX.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File named</w:t>
      </w:r>
      <w:r>
        <w:t xml:space="preserve"> </w:t>
      </w:r>
      <w:r>
        <w:rPr>
          <w:rStyle w:val="VerbatimChar"/>
        </w:rPr>
        <w:t xml:space="preserve">D4-judgment-essay.pdf</w:t>
      </w:r>
      <w:r>
        <w:t xml:space="preserve"> </w:t>
      </w:r>
      <w:r>
        <w:t xml:space="preserve">(or .docx) for the Drive folder.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i/>
          <w:iCs/>
        </w:rPr>
        <w:t xml:space="preserve">UBI Programme Team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2026-06-03T20:02:20Z</dcterms:created>
  <dcterms:modified xsi:type="dcterms:W3CDTF">2026-06-03T20:02:20Z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