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Ubuntu Bridge Initiative · Cybersecurity Internship · Cohort 1 · Stage 0 capstone</w:t>
      </w:r>
    </w:p>
    <w:p>
      <w:pPr>
        <w:pStyle w:val="BodyText"/>
      </w:pPr>
      <w:r>
        <w:rPr>
          <w:i/>
          <w:iCs/>
        </w:rPr>
        <w:t xml:space="preserve">This is the editable template for one deliverable. Make a copy in Google Docs or open it in Microsoft Word, replace every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[BRACKETED]</w:t>
      </w:r>
      <w:r>
        <w:rPr>
          <w:i/>
          <w:iCs/>
        </w:rPr>
        <w:t xml:space="preserve"> </w:t>
      </w:r>
      <w:r>
        <w:rPr>
          <w:i/>
          <w:iCs/>
        </w:rPr>
        <w:t xml:space="preserve">prompt with your own writing, and save as PDF or DOCX into your one shared Drive folder. Delete every bracketed prompt before you submit — if a placeholder is still in your file, the grader will mark that section incomplete.</w:t>
      </w:r>
    </w:p>
    <w:bookmarkStart w:id="15" w:name="X2b27ca8c3da3e2fa86bc9dd8d8262d1af720364"/>
    <w:p>
      <w:pPr>
        <w:pStyle w:val="Heading1"/>
      </w:pPr>
      <w:r>
        <w:t xml:space="preserve">Deliverable 2 — Tier-1 dismissal pattern analysis</w:t>
      </w:r>
    </w:p>
    <w:p>
      <w:pPr>
        <w:pStyle w:val="FirstParagraph"/>
      </w:pPr>
      <w:r>
        <w:rPr>
          <w:i/>
          <w:iCs/>
        </w:rPr>
        <w:t xml:space="preserve">Length: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3–5 pages</w:t>
      </w:r>
      <w:r>
        <w:rPr>
          <w:i/>
          <w:iCs/>
        </w:rPr>
        <w:t xml:space="preserve">. Submit as PDF or DOCX.</w:t>
      </w:r>
    </w:p>
    <w:bookmarkStart w:id="9" w:name="page-1-name-the-pattern"/>
    <w:p>
      <w:pPr>
        <w:pStyle w:val="Heading2"/>
      </w:pPr>
      <w:r>
        <w:t xml:space="preserve">Page 1 — Name the pattern</w:t>
      </w:r>
    </w:p>
    <w:p>
      <w:pPr>
        <w:pStyle w:val="SourceCode"/>
      </w:pPr>
      <w:r>
        <w:rPr>
          <w:rStyle w:val="VerbatimChar"/>
        </w:rPr>
        <w:t xml:space="preserve">Stage 0 Capstone · Deliverable 2</w:t>
      </w:r>
      <w:r>
        <w:br/>
      </w:r>
      <w:r>
        <w:rPr>
          <w:rStyle w:val="VerbatimChar"/>
        </w:rPr>
        <w:t xml:space="preserve">Tier-1 dismissal pattern analysis</w:t>
      </w:r>
      <w:r>
        <w:br/>
      </w:r>
      <w:r>
        <w:br/>
      </w:r>
      <w:r>
        <w:rPr>
          <w:rStyle w:val="VerbatimChar"/>
        </w:rPr>
        <w:t xml:space="preserve">[Your full name]</w:t>
      </w:r>
      <w:r>
        <w:br/>
      </w:r>
      <w:r>
        <w:rPr>
          <w:rStyle w:val="VerbatimChar"/>
        </w:rPr>
        <w:t xml:space="preserve">[UBI intern code]</w:t>
      </w:r>
      <w:r>
        <w:br/>
      </w:r>
      <w:r>
        <w:rPr>
          <w:rStyle w:val="VerbatimChar"/>
        </w:rPr>
        <w:t xml:space="preserve">[Date]</w:t>
      </w:r>
    </w:p>
    <w:p>
      <w:pPr>
        <w:pStyle w:val="FirstParagraph"/>
      </w:pPr>
      <w:r>
        <w:rPr>
          <w:b/>
          <w:bCs/>
        </w:rPr>
        <w:t xml:space="preserve">Opening sentence (the pattern, stated specifically):</w:t>
      </w:r>
    </w:p>
    <w:p>
      <w:pPr>
        <w:pStyle w:val="BlockText"/>
      </w:pPr>
      <w:r>
        <w:t xml:space="preserve">[Write one sentence that names the structural failure. Specific = good. Generic = bad. Aim for the shape:</w:t>
      </w:r>
      <w:r>
        <w:t xml:space="preserve"> </w:t>
      </w:r>
      <w:r>
        <w:t xml:space="preserve">“[Pattern name]: [what specifically goes wrong]”</w:t>
      </w:r>
      <w:r>
        <w:t xml:space="preserve">. Acceptable example:</w:t>
      </w:r>
      <w:r>
        <w:t xml:space="preserve"> </w:t>
      </w:r>
      <w:r>
        <w:t xml:space="preserve">“Single-analyst dismissal of MEDIUM+ auto-tickets as</w:t>
      </w:r>
      <w:r>
        <w:t xml:space="preserve"> </w:t>
      </w:r>
      <w:r>
        <w:t xml:space="preserve">‘resolved-by-reference’</w:t>
      </w:r>
      <w:r>
        <w:t xml:space="preserve"> </w:t>
      </w:r>
      <w:r>
        <w:t xml:space="preserve">without cross-correlation against the prior 7 days of alerts.”</w:t>
      </w:r>
      <w:r>
        <w:t xml:space="preserve"> </w:t>
      </w:r>
      <w:r>
        <w:t xml:space="preserve">Unacceptable:</w:t>
      </w:r>
      <w:r>
        <w:t xml:space="preserve"> </w:t>
      </w:r>
      <w:r>
        <w:t xml:space="preserve">“Bad triage”</w:t>
      </w:r>
      <w:r>
        <w:t xml:space="preserve"> </w:t>
      </w:r>
      <w:r>
        <w:t xml:space="preserve">or</w:t>
      </w:r>
      <w:r>
        <w:t xml:space="preserve"> </w:t>
      </w:r>
      <w:r>
        <w:t xml:space="preserve">“Tier-1 was overloaded”</w:t>
      </w:r>
      <w:r>
        <w:t xml:space="preserve">.]</w:t>
      </w:r>
    </w:p>
    <w:p>
      <w:pPr>
        <w:pStyle w:val="FirstParagraph"/>
      </w:pPr>
      <w:r>
        <w:rPr>
          <w:b/>
          <w:bCs/>
        </w:rPr>
        <w:t xml:space="preserve">The ticket IDs that prove the pattern — at least 4, including SD-40812. Quote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disposition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notes</w:t>
      </w:r>
      <w:r>
        <w:rPr>
          <w:b/>
          <w:bCs/>
        </w:rPr>
        <w:t xml:space="preserve"> </w:t>
      </w:r>
      <w:r>
        <w:rPr>
          <w:b/>
          <w:bCs/>
        </w:rPr>
        <w:t xml:space="preserve">columns verbatim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tier-1-ticket-history.csv</w:t>
      </w:r>
      <w:r>
        <w:rPr>
          <w:b/>
          <w:bCs/>
        </w:rPr>
        <w:t xml:space="preserve">. Paraphrase costs points and triggers AI review.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SD-40812.</w:t>
      </w:r>
      <w:r>
        <w:t xml:space="preserve"> </w:t>
      </w:r>
      <w:r>
        <w:t xml:space="preserve">disposition=</w:t>
      </w:r>
      <w:r>
        <w:rPr>
          <w:rStyle w:val="VerbatimChar"/>
        </w:rPr>
        <w:t xml:space="preserve">[verbatim]</w:t>
      </w:r>
      <w:r>
        <w:t xml:space="preserve">; notes=</w:t>
      </w:r>
      <w:r>
        <w:rPr>
          <w:rStyle w:val="VerbatimChar"/>
        </w:rPr>
        <w:t xml:space="preserve">"[verbatim]"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SD-[####].</w:t>
      </w:r>
      <w:r>
        <w:t xml:space="preserve"> </w:t>
      </w:r>
      <w:r>
        <w:t xml:space="preserve">disposition=</w:t>
      </w:r>
      <w:r>
        <w:rPr>
          <w:rStyle w:val="VerbatimChar"/>
        </w:rPr>
        <w:t xml:space="preserve">[verbatim]</w:t>
      </w:r>
      <w:r>
        <w:t xml:space="preserve">; notes=</w:t>
      </w:r>
      <w:r>
        <w:rPr>
          <w:rStyle w:val="VerbatimChar"/>
        </w:rPr>
        <w:t xml:space="preserve">"[verbatim]"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SD-[####].</w:t>
      </w:r>
      <w:r>
        <w:t xml:space="preserve"> </w:t>
      </w:r>
      <w:r>
        <w:t xml:space="preserve">disposition=</w:t>
      </w:r>
      <w:r>
        <w:rPr>
          <w:rStyle w:val="VerbatimChar"/>
        </w:rPr>
        <w:t xml:space="preserve">[verbatim]</w:t>
      </w:r>
      <w:r>
        <w:t xml:space="preserve">; notes=</w:t>
      </w:r>
      <w:r>
        <w:rPr>
          <w:rStyle w:val="VerbatimChar"/>
        </w:rPr>
        <w:t xml:space="preserve">"[verbatim]"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SD-[####].</w:t>
      </w:r>
      <w:r>
        <w:t xml:space="preserve"> </w:t>
      </w:r>
      <w:r>
        <w:t xml:space="preserve">disposition=</w:t>
      </w:r>
      <w:r>
        <w:rPr>
          <w:rStyle w:val="VerbatimChar"/>
        </w:rPr>
        <w:t xml:space="preserve">[verbatim]</w:t>
      </w:r>
      <w:r>
        <w:t xml:space="preserve">; notes=</w:t>
      </w:r>
      <w:r>
        <w:rPr>
          <w:rStyle w:val="VerbatimChar"/>
        </w:rPr>
        <w:t xml:space="preserve">"[verbatim]"</w:t>
      </w:r>
    </w:p>
    <w:bookmarkEnd w:id="9"/>
    <w:bookmarkStart w:id="11" w:name="pages-23-per-ticket-walkthrough"/>
    <w:p>
      <w:pPr>
        <w:pStyle w:val="Heading2"/>
      </w:pPr>
      <w:r>
        <w:t xml:space="preserve">Pages 2–3 — Per-ticket walkthrough</w:t>
      </w:r>
    </w:p>
    <w:p>
      <w:pPr>
        <w:pStyle w:val="FirstParagraph"/>
      </w:pPr>
      <w:r>
        <w:t xml:space="preserve">For each ticket cited above, write the block below. Repeat the block for every cited ticket.</w:t>
      </w:r>
    </w:p>
    <w:bookmarkStart w:id="10" w:name="ticket-id"/>
    <w:p>
      <w:pPr>
        <w:pStyle w:val="Heading3"/>
      </w:pPr>
      <w:r>
        <w:t xml:space="preserve">[Ticket ID]</w:t>
      </w:r>
    </w:p>
    <w:p>
      <w:pPr>
        <w:pStyle w:val="FirstParagraph"/>
      </w:pPr>
      <w:r>
        <w:rPr>
          <w:b/>
          <w:bCs/>
        </w:rPr>
        <w:t xml:space="preserve">What the SIEM raised:</w:t>
      </w:r>
      <w:r>
        <w:t xml:space="preserve"> </w:t>
      </w:r>
      <w:r>
        <w:t xml:space="preserve">[One sentence describing the alert that fired.]</w:t>
      </w:r>
    </w:p>
    <w:p>
      <w:pPr>
        <w:pStyle w:val="BodyText"/>
      </w:pPr>
      <w:r>
        <w:rPr>
          <w:b/>
          <w:bCs/>
        </w:rPr>
        <w:t xml:space="preserve">Dismissal:</w:t>
      </w:r>
      <w:r>
        <w:t xml:space="preserve"> </w:t>
      </w:r>
      <w:r>
        <w:t xml:space="preserve">disposition=</w:t>
      </w:r>
      <w:r>
        <w:rPr>
          <w:rStyle w:val="VerbatimChar"/>
        </w:rPr>
        <w:t xml:space="preserve">[verbatim]</w:t>
      </w:r>
      <w:r>
        <w:t xml:space="preserve">; notes=</w:t>
      </w:r>
      <w:r>
        <w:rPr>
          <w:rStyle w:val="VerbatimChar"/>
        </w:rPr>
        <w:t xml:space="preserve">"[verbatim]"</w:t>
      </w:r>
    </w:p>
    <w:p>
      <w:pPr>
        <w:pStyle w:val="BodyText"/>
      </w:pPr>
      <w:r>
        <w:rPr>
          <w:b/>
          <w:bCs/>
        </w:rPr>
        <w:t xml:space="preserve">What was missed:</w:t>
      </w:r>
      <w:r>
        <w:t xml:space="preserve"> </w:t>
      </w:r>
      <w:r>
        <w:t xml:space="preserve">[Specific reference to another file, ticket, row, or log line that, if checked, would have escalated this ticket. Cite the file or ticket ID precisely.]</w:t>
      </w:r>
    </w:p>
    <w:p>
      <w:pPr>
        <w:pStyle w:val="BodyText"/>
      </w:pPr>
      <w:r>
        <w:rPr>
          <w:b/>
          <w:bCs/>
        </w:rPr>
        <w:t xml:space="preserve">What it cost Sankofa:</w:t>
      </w:r>
      <w:r>
        <w:t xml:space="preserve"> </w:t>
      </w:r>
      <w:r>
        <w:t xml:space="preserve">[One concrete consequence. Not</w:t>
      </w:r>
      <w:r>
        <w:t xml:space="preserve"> </w:t>
      </w:r>
      <w:r>
        <w:t xml:space="preserve">“increased risk”</w:t>
      </w:r>
      <w:r>
        <w:t xml:space="preserve">. Something specific, e.g.,</w:t>
      </w:r>
      <w:r>
        <w:t xml:space="preserve"> </w:t>
      </w:r>
      <w:r>
        <w:t xml:space="preserve">“the attacker returned 27 hours later via the same IP without any new SIEM rule firing.”</w:t>
      </w:r>
      <w:r>
        <w:t xml:space="preserve">]</w:t>
      </w:r>
    </w:p>
    <w:p>
      <w:pPr>
        <w:pStyle w:val="BodyText"/>
      </w:pPr>
      <w:r>
        <w:rPr>
          <w:i/>
          <w:iCs/>
        </w:rPr>
        <w:t xml:space="preserve">Repeat the four-field block above for each ticket.</w:t>
      </w:r>
    </w:p>
    <w:bookmarkEnd w:id="10"/>
    <w:bookmarkEnd w:id="11"/>
    <w:bookmarkStart w:id="12" w:name="page-4-root-cause"/>
    <w:p>
      <w:pPr>
        <w:pStyle w:val="Heading2"/>
      </w:pPr>
      <w:r>
        <w:t xml:space="preserve">Page 4 — Root cause</w:t>
      </w:r>
    </w:p>
    <w:p>
      <w:pPr>
        <w:pStyle w:val="FirstParagraph"/>
      </w:pPr>
      <w:r>
        <w:rPr>
          <w:b/>
          <w:bCs/>
        </w:rPr>
        <w:t xml:space="preserve">The single-analyst pattern, with column evidence:</w:t>
      </w:r>
    </w:p>
    <w:p>
      <w:pPr>
        <w:pStyle w:val="BlockText"/>
      </w:pPr>
      <w:r>
        <w:t xml:space="preserve">[Use the columns of</w:t>
      </w:r>
      <w:r>
        <w:t xml:space="preserve"> </w:t>
      </w:r>
      <w:r>
        <w:rPr>
          <w:rStyle w:val="VerbatimChar"/>
        </w:rPr>
        <w:t xml:space="preserve">tier-1-ticket-history.csv</w:t>
      </w:r>
      <w:r>
        <w:t xml:space="preserve"> </w:t>
      </w:r>
      <w:r>
        <w:t xml:space="preserve">to make the case. Count: how many of the Q2 auto-ticket closures were made by the same analyst? Reference the specific column you counted from. Show that this analyst closed most of the MEDIUM+ tickets. This is your root cause — say it explicitly. Do not hedge.]</w:t>
      </w:r>
    </w:p>
    <w:p>
      <w:pPr>
        <w:pStyle w:val="FirstParagraph"/>
      </w:pPr>
      <w:r>
        <w:rPr>
          <w:b/>
          <w:bCs/>
        </w:rPr>
        <w:t xml:space="preserve">Why this matters operationally (~80 words):</w:t>
      </w:r>
    </w:p>
    <w:p>
      <w:pPr>
        <w:pStyle w:val="BlockText"/>
      </w:pPr>
      <w:r>
        <w:t xml:space="preserve">[Explain how single-analyst coverage breaks SIEM triage. The brief mentions Sankofa’s SOC bench is four analysts. Connect that bench size to the pattern you named on page 1. Two-three sentences.]</w:t>
      </w:r>
    </w:p>
    <w:bookmarkEnd w:id="12"/>
    <w:bookmarkStart w:id="13" w:name="page-5-break-point-and-recommendation"/>
    <w:p>
      <w:pPr>
        <w:pStyle w:val="Heading2"/>
      </w:pPr>
      <w:r>
        <w:t xml:space="preserve">Page 5 — Break-point and recommendation</w:t>
      </w:r>
    </w:p>
    <w:p>
      <w:pPr>
        <w:pStyle w:val="FirstParagraph"/>
      </w:pPr>
      <w:r>
        <w:rPr>
          <w:b/>
          <w:bCs/>
        </w:rPr>
        <w:t xml:space="preserve">The moment the pattern broke — Tunde Afolabi’s escalation (ticket SD-40866):</w:t>
      </w:r>
    </w:p>
    <w:p>
      <w:pPr>
        <w:pStyle w:val="BlockText"/>
      </w:pPr>
      <w:r>
        <w:t xml:space="preserve">[Explain in 2–3 sentences why SD-40866 broke the pattern. What did Tunde do differently? Was it a different analyst closing it, a different disposition, a cross-correlation that finally happened? Why did the pattern that hid SD-40812 not work here?]</w:t>
      </w:r>
    </w:p>
    <w:p>
      <w:pPr>
        <w:pStyle w:val="FirstParagraph"/>
      </w:pPr>
      <w:r>
        <w:rPr>
          <w:b/>
          <w:bCs/>
        </w:rPr>
        <w:t xml:space="preserve">One concrete procedural recommendation:</w:t>
      </w:r>
    </w:p>
    <w:p>
      <w:pPr>
        <w:pStyle w:val="BlockText"/>
      </w:pPr>
      <w:r>
        <w:t xml:space="preserve">[One specific procedure change. The test of specificity: another company should be able to read your recommendation and implement it without further interpretation.</w:t>
      </w:r>
    </w:p>
    <w:p>
      <w:pPr>
        <w:pStyle w:val="BlockText"/>
      </w:pPr>
      <w:r>
        <w:t xml:space="preserve">Acceptable shapes:</w:t>
      </w:r>
      <w:r>
        <w:t xml:space="preserve"> </w:t>
      </w:r>
      <w:r>
        <w:t xml:space="preserve">-</w:t>
      </w:r>
      <w:r>
        <w:t xml:space="preserve"> </w:t>
      </w:r>
      <w:r>
        <w:t xml:space="preserve">“Any MEDIUM+ SIEM auto-ticket dismissed as</w:t>
      </w:r>
      <w:r>
        <w:t xml:space="preserve"> </w:t>
      </w:r>
      <w:r>
        <w:rPr>
          <w:rStyle w:val="VerbatimChar"/>
        </w:rPr>
        <w:t xml:space="preserve">resolved-by-reference</w:t>
      </w:r>
      <w:r>
        <w:t xml:space="preserve"> </w:t>
      </w:r>
      <w:r>
        <w:t xml:space="preserve">requires a second analyst’s signature within 4 hours of close.”</w:t>
      </w:r>
      <w:r>
        <w:t xml:space="preserve"> </w:t>
      </w:r>
      <w:r>
        <w:t xml:space="preserve">-</w:t>
      </w:r>
      <w:r>
        <w:t xml:space="preserve"> </w:t>
      </w:r>
      <w:r>
        <w:t xml:space="preserve">“Dual sign-off before close on any ticket where ≥ 2 SIEM rules fired on the same asset in the prior 24 hours.”</w:t>
      </w:r>
    </w:p>
    <w:p>
      <w:pPr>
        <w:pStyle w:val="BlockText"/>
      </w:pPr>
      <w:r>
        <w:t xml:space="preserve">Unacceptable:</w:t>
      </w:r>
      <w:r>
        <w:t xml:space="preserve"> </w:t>
      </w:r>
      <w:r>
        <w:t xml:space="preserve">“improve monitoring”</w:t>
      </w:r>
      <w:r>
        <w:t xml:space="preserve">,</w:t>
      </w:r>
      <w:r>
        <w:t xml:space="preserve"> </w:t>
      </w:r>
      <w:r>
        <w:t xml:space="preserve">“review tickets more carefully”</w:t>
      </w:r>
      <w:r>
        <w:t xml:space="preserve">,</w:t>
      </w:r>
      <w:r>
        <w:t xml:space="preserve"> </w:t>
      </w:r>
      <w:r>
        <w:t xml:space="preserve">“hire more staff”</w:t>
      </w:r>
      <w:r>
        <w:t xml:space="preserve">,</w:t>
      </w:r>
      <w:r>
        <w:t xml:space="preserve"> </w:t>
      </w:r>
      <w:r>
        <w:t xml:space="preserve">“introduce more rigorous SOC processes”</w:t>
      </w:r>
      <w:r>
        <w:t xml:space="preserve">. Those are not procedures.]</w:t>
      </w:r>
    </w:p>
    <w:bookmarkEnd w:id="13"/>
    <w:bookmarkStart w:id="14" w:name="pre-submission-checklist-for-d2"/>
    <w:p>
      <w:pPr>
        <w:pStyle w:val="Heading2"/>
      </w:pPr>
      <w:r>
        <w:t xml:space="preserve">Pre-submission checklist for D2</w:t>
      </w:r>
    </w:p>
    <w:p>
      <w:pPr>
        <w:pStyle w:val="Compact"/>
        <w:numPr>
          <w:ilvl w:val="0"/>
          <w:numId w:val="1002"/>
        </w:numPr>
      </w:pPr>
      <w:r>
        <w:t xml:space="preserve">Pattern named in the first sentence — specific, not vague.</w:t>
      </w:r>
    </w:p>
    <w:p>
      <w:pPr>
        <w:pStyle w:val="Compact"/>
        <w:numPr>
          <w:ilvl w:val="0"/>
          <w:numId w:val="1003"/>
        </w:numPr>
      </w:pPr>
      <w:r>
        <w:t xml:space="preserve">At least 4 ticket IDs cited (including SD-40812 and SD-40866).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disposition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columns quoted</w:t>
      </w:r>
      <w:r>
        <w:t xml:space="preserve"> </w:t>
      </w:r>
      <w:r>
        <w:rPr>
          <w:b/>
          <w:bCs/>
        </w:rPr>
        <w:t xml:space="preserve">verbatim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Per-ticket walkthrough completed for every cited ticket.</w:t>
      </w:r>
    </w:p>
    <w:p>
      <w:pPr>
        <w:pStyle w:val="Compact"/>
        <w:numPr>
          <w:ilvl w:val="0"/>
          <w:numId w:val="1006"/>
        </w:numPr>
      </w:pPr>
      <w:r>
        <w:t xml:space="preserve">Root-cause page uses column counts as evidence, not opinion.</w:t>
      </w:r>
    </w:p>
    <w:p>
      <w:pPr>
        <w:pStyle w:val="Compact"/>
        <w:numPr>
          <w:ilvl w:val="0"/>
          <w:numId w:val="1007"/>
        </w:numPr>
      </w:pPr>
      <w:r>
        <w:t xml:space="preserve">SD-40866 explicitly named as the break-point.</w:t>
      </w:r>
    </w:p>
    <w:p>
      <w:pPr>
        <w:pStyle w:val="Compact"/>
        <w:numPr>
          <w:ilvl w:val="0"/>
          <w:numId w:val="1008"/>
        </w:numPr>
      </w:pPr>
      <w:r>
        <w:t xml:space="preserve">Procedural recommendation is concrete enough to implement.</w:t>
      </w:r>
    </w:p>
    <w:p>
      <w:pPr>
        <w:pStyle w:val="Compact"/>
        <w:numPr>
          <w:ilvl w:val="0"/>
          <w:numId w:val="1009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[BRACKETED]</w:t>
      </w:r>
      <w:r>
        <w:t xml:space="preserve"> </w:t>
      </w:r>
      <w:r>
        <w:t xml:space="preserve">prompts removed.</w:t>
      </w:r>
    </w:p>
    <w:p>
      <w:r>
        <w:pict>
          <v:rect style="width:0;height:1.5pt" o:hralign="center" o:hrstd="t" o:hr="t"/>
        </w:pic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2026-06-03T19:44:02Z</dcterms:created>
  <dcterms:modified xsi:type="dcterms:W3CDTF">2026-06-03T19:44:02Z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