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i/>
          <w:iCs/>
        </w:rPr>
        <w:t xml:space="preserve">Ubuntu Bridge Initiative · Cybersecurity Internship · Cohort 1 · Stage 0 capstone</w:t>
      </w:r>
    </w:p>
    <w:p>
      <w:pPr>
        <w:pStyle w:val="BodyText"/>
      </w:pPr>
      <w:r>
        <w:rPr>
          <w:i/>
          <w:iCs/>
        </w:rPr>
        <w:t xml:space="preserve">This is the editable template for one deliverable. Make a copy in Google Docs or open it in Microsoft Word, replace every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[BRACKETED]</w:t>
      </w:r>
      <w:r>
        <w:rPr>
          <w:i/>
          <w:iCs/>
        </w:rPr>
        <w:t xml:space="preserve"> </w:t>
      </w:r>
      <w:r>
        <w:rPr>
          <w:i/>
          <w:iCs/>
        </w:rPr>
        <w:t xml:space="preserve">prompt with your own writing, and save as PDF or DOCX into your one shared Drive folder. Delete every bracketed prompt before you submit — if a placeholder is still in your file, the grader will mark that section incomplete.</w:t>
      </w:r>
    </w:p>
    <w:bookmarkStart w:id="17" w:name="Xf6222ce9d4d8bd5e434cff1bdddacf6d6afc2be"/>
    <w:p>
      <w:pPr>
        <w:pStyle w:val="Heading1"/>
      </w:pPr>
      <w:r>
        <w:t xml:space="preserve">Deliverable 3 — Business impact and next steps</w:t>
      </w:r>
    </w:p>
    <w:p>
      <w:pPr>
        <w:pStyle w:val="FirstParagraph"/>
      </w:pPr>
      <w:r>
        <w:rPr>
          <w:i/>
          <w:iCs/>
        </w:rPr>
        <w:t xml:space="preserve">Length: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3–5 pages</w:t>
      </w:r>
      <w:r>
        <w:rPr>
          <w:i/>
          <w:iCs/>
        </w:rPr>
        <w:t xml:space="preserve">. Audience: three non-technical executives. They read this in under 15 minutes.</w:t>
      </w:r>
    </w:p>
    <w:p>
      <w:pPr>
        <w:pStyle w:val="BodyText"/>
      </w:pPr>
      <w:r>
        <w:rPr>
          <w:b/>
          <w:bCs/>
        </w:rPr>
        <w:t xml:space="preserve">The audience test:</w:t>
      </w:r>
      <w:r>
        <w:t xml:space="preserve"> </w:t>
      </w:r>
      <w:r>
        <w:t xml:space="preserve">Hand page 1 to someone who knows nothing about cybersecurity. If they can quote a sentence back to you, page 1 is working. If they look confused, rewrite it before you move on.</w:t>
      </w:r>
    </w:p>
    <w:bookmarkStart w:id="9" w:name="page-1-headline-and-situation-summary"/>
    <w:p>
      <w:pPr>
        <w:pStyle w:val="Heading2"/>
      </w:pPr>
      <w:r>
        <w:t xml:space="preserve">Page 1 — Headline and situation summary</w:t>
      </w:r>
    </w:p>
    <w:p>
      <w:pPr>
        <w:pStyle w:val="SourceCode"/>
      </w:pPr>
      <w:r>
        <w:rPr>
          <w:rStyle w:val="VerbatimChar"/>
        </w:rPr>
        <w:t xml:space="preserve">Stage 0 Capstone · Deliverable 3</w:t>
      </w:r>
      <w:r>
        <w:br/>
      </w:r>
      <w:r>
        <w:rPr>
          <w:rStyle w:val="VerbatimChar"/>
        </w:rPr>
        <w:t xml:space="preserve">Business impact and next steps</w:t>
      </w:r>
      <w:r>
        <w:br/>
      </w:r>
      <w:r>
        <w:rPr>
          <w:rStyle w:val="VerbatimChar"/>
        </w:rPr>
        <w:t xml:space="preserve">For: Sankofa Digital Incident Committee</w:t>
      </w:r>
      <w:r>
        <w:br/>
      </w:r>
      <w:r>
        <w:br/>
      </w:r>
      <w:r>
        <w:rPr>
          <w:rStyle w:val="VerbatimChar"/>
        </w:rPr>
        <w:t xml:space="preserve">[Your name]</w:t>
      </w:r>
      <w:r>
        <w:br/>
      </w:r>
      <w:r>
        <w:rPr>
          <w:rStyle w:val="VerbatimChar"/>
        </w:rPr>
        <w:t xml:space="preserve">[UBI intern code]</w:t>
      </w:r>
      <w:r>
        <w:br/>
      </w:r>
      <w:r>
        <w:rPr>
          <w:rStyle w:val="VerbatimChar"/>
        </w:rPr>
        <w:t xml:space="preserve">[Date]</w:t>
      </w:r>
    </w:p>
    <w:p>
      <w:pPr>
        <w:pStyle w:val="FirstParagraph"/>
      </w:pPr>
      <w:r>
        <w:rPr>
          <w:b/>
          <w:bCs/>
        </w:rPr>
        <w:t xml:space="preserve">Headline finding (the FIRST sentence of the page — not buried mid-paragraph):</w:t>
      </w:r>
    </w:p>
    <w:p>
      <w:pPr>
        <w:pStyle w:val="BlockText"/>
      </w:pPr>
      <w:r>
        <w:t xml:space="preserve">[State the conclusion as a fact, not a hypothesis. Template:</w:t>
      </w:r>
      <w:r>
        <w:t xml:space="preserve"> </w:t>
      </w:r>
      <w:r>
        <w:t xml:space="preserve">“Sankofa Digital was compromised in Q2 2024 by [actor name], who used [method] to access [system] starting on [date].”</w:t>
      </w:r>
      <w:r>
        <w:t xml:space="preserve"> </w:t>
      </w:r>
      <w:r>
        <w:t xml:space="preserve">Acceptable to add a half-sentence qualifier:</w:t>
      </w:r>
      <w:r>
        <w:t xml:space="preserve"> </w:t>
      </w:r>
      <w:r>
        <w:t xml:space="preserve">“…and we have evidence of one repeat access on [next date].”</w:t>
      </w:r>
      <w:r>
        <w:t xml:space="preserve"> </w:t>
      </w:r>
      <w:r>
        <w:t xml:space="preserve">Do not write:</w:t>
      </w:r>
      <w:r>
        <w:t xml:space="preserve"> </w:t>
      </w:r>
      <w:r>
        <w:t xml:space="preserve">“There may have been some suspicious activity in Q2…”</w:t>
      </w:r>
      <w:r>
        <w:t xml:space="preserve">]</w:t>
      </w:r>
    </w:p>
    <w:p>
      <w:pPr>
        <w:pStyle w:val="FirstParagraph"/>
      </w:pPr>
      <w:r>
        <w:rPr>
          <w:b/>
          <w:bCs/>
        </w:rPr>
        <w:t xml:space="preserve">One-paragraph situation summary (~80 words, audience-readable):</w:t>
      </w:r>
    </w:p>
    <w:p>
      <w:pPr>
        <w:pStyle w:val="BlockText"/>
      </w:pPr>
      <w:r>
        <w:t xml:space="preserve">[The Committee chair should be able to quote a sentence from this paragraph back to you in the meeting. Plain English. No MITRE technique IDs. No CVE numbers. No jargon that requires translation. The audience is three executives, not a security peer.]</w:t>
      </w:r>
    </w:p>
    <w:p>
      <w:pPr>
        <w:pStyle w:val="BlockText"/>
      </w:pPr>
      <w:r>
        <w:rPr>
          <w:b/>
          <w:bCs/>
        </w:rPr>
        <w:t xml:space="preserve">Write this page LAST, after you have written pages 2–5. Page 1 distils the rest.</w:t>
      </w:r>
    </w:p>
    <w:bookmarkEnd w:id="9"/>
    <w:bookmarkStart w:id="10" w:name="X53fdf669b5598093db3efb83acd057b9c26d1f6"/>
    <w:p>
      <w:pPr>
        <w:pStyle w:val="Heading2"/>
      </w:pPr>
      <w:r>
        <w:t xml:space="preserve">Page 2 — What’s at risk and what we don’t yet know</w:t>
      </w:r>
    </w:p>
    <w:p>
      <w:pPr>
        <w:pStyle w:val="FirstParagraph"/>
      </w:pPr>
      <w:r>
        <w:rPr>
          <w:b/>
          <w:bCs/>
        </w:rPr>
        <w:t xml:space="preserve">What’s at risk (one paragraph):</w:t>
      </w:r>
    </w:p>
    <w:p>
      <w:pPr>
        <w:pStyle w:val="BlockText"/>
      </w:pPr>
      <w:r>
        <w:t xml:space="preserve">[Data classes that were touched (customer PII, transaction data, internal communications, etc.). Anchor every claim to a specific file or ticket. Do not list risks that your evidence does not support.]</w:t>
      </w:r>
    </w:p>
    <w:p>
      <w:pPr>
        <w:pStyle w:val="FirstParagraph"/>
      </w:pPr>
      <w:r>
        <w:rPr>
          <w:b/>
          <w:bCs/>
        </w:rPr>
        <w:t xml:space="preserve">What we know about the attacker (one paragraph):</w:t>
      </w:r>
    </w:p>
    <w:p>
      <w:pPr>
        <w:pStyle w:val="BlockText"/>
      </w:pPr>
      <w:r>
        <w:t xml:space="preserve">[The IP / ASN. The repeated entry. The threat actor name decoded from</w:t>
      </w:r>
      <w:r>
        <w:t xml:space="preserve"> </w:t>
      </w:r>
      <w:r>
        <w:rPr>
          <w:rStyle w:val="VerbatimChar"/>
        </w:rPr>
        <w:t xml:space="preserve">encoded-strings.txt</w:t>
      </w:r>
      <w:r>
        <w:t xml:space="preserve">. The compromised account. 3–4 sentences. Still no MITRE IDs in prose on this page — names only.]</w:t>
      </w:r>
    </w:p>
    <w:p>
      <w:pPr>
        <w:pStyle w:val="FirstParagraph"/>
      </w:pPr>
      <w:r>
        <w:rPr>
          <w:b/>
          <w:bCs/>
        </w:rPr>
        <w:t xml:space="preserve">What we cannot yet rule out (one paragraph — honest qualification):</w:t>
      </w:r>
    </w:p>
    <w:p>
      <w:pPr>
        <w:pStyle w:val="BlockText"/>
      </w:pPr>
      <w:r>
        <w:t xml:space="preserve">[Be specific about what your evidence does NOT prove. Examples:</w:t>
      </w:r>
      <w:r>
        <w:t xml:space="preserve"> </w:t>
      </w:r>
      <w:r>
        <w:t xml:space="preserve">“We do not yet know whether transaction data was exfiltrated; the auth log shows access but not data movement.”</w:t>
      </w:r>
      <w:r>
        <w:t xml:space="preserve"> </w:t>
      </w:r>
      <w:r>
        <w:t xml:space="preserve">This honesty matters — overclaiming damages your credibility with executives. Name at least one specific thing you cannot rule out.]</w:t>
      </w:r>
    </w:p>
    <w:p>
      <w:pPr>
        <w:pStyle w:val="FirstParagraph"/>
      </w:pPr>
      <w:r>
        <w:rPr>
          <w:b/>
          <w:bCs/>
        </w:rPr>
        <w:t xml:space="preserve">One external reference, named in prose (NOT as an ID on this page):</w:t>
      </w:r>
    </w:p>
    <w:p>
      <w:pPr>
        <w:pStyle w:val="BlockText"/>
      </w:pPr>
      <w:r>
        <w:t xml:space="preserve">[Acceptable phrasings:</w:t>
      </w:r>
      <w:r>
        <w:t xml:space="preserve"> </w:t>
      </w:r>
      <w:r>
        <w:t xml:space="preserve">“This maps to the NIST CSF Detect function”</w:t>
      </w:r>
      <w:r>
        <w:t xml:space="preserve">,</w:t>
      </w:r>
      <w:r>
        <w:t xml:space="preserve"> </w:t>
      </w:r>
      <w:r>
        <w:t xml:space="preserve">“This is the MITRE Valid Accounts technique”</w:t>
      </w:r>
      <w:r>
        <w:t xml:space="preserve">,</w:t>
      </w:r>
      <w:r>
        <w:t xml:space="preserve"> </w:t>
      </w:r>
      <w:r>
        <w:t xml:space="preserve">“This concerns ISO 27001 control area A.9.2.6 (Removal of access rights)”</w:t>
      </w:r>
      <w:r>
        <w:t xml:space="preserve">. The full citation (technique ID, control number) appears in the evidence appendix on page 5, not here.]</w:t>
      </w:r>
    </w:p>
    <w:bookmarkEnd w:id="10"/>
    <w:bookmarkStart w:id="14" w:name="pages-34-three-72-hour-actions"/>
    <w:p>
      <w:pPr>
        <w:pStyle w:val="Heading2"/>
      </w:pPr>
      <w:r>
        <w:t xml:space="preserve">Pages 3–4 — Three 72-hour actions</w:t>
      </w:r>
    </w:p>
    <w:p>
      <w:pPr>
        <w:pStyle w:val="FirstParagraph"/>
      </w:pPr>
      <w:r>
        <w:rPr>
          <w:b/>
          <w:bCs/>
        </w:rPr>
        <w:t xml:space="preserve">Each action gets its own block. One paragraph of 60–100 words. Each paragraph must contain ALL of these:</w:t>
      </w:r>
    </w:p>
    <w:p>
      <w:pPr>
        <w:pStyle w:val="Compact"/>
        <w:numPr>
          <w:ilvl w:val="0"/>
          <w:numId w:val="1001"/>
        </w:numPr>
      </w:pPr>
      <w:r>
        <w:t xml:space="preserve">Action verb first —</w:t>
      </w:r>
      <w:r>
        <w:t xml:space="preserve"> </w:t>
      </w:r>
      <w:r>
        <w:rPr>
          <w:i/>
          <w:iCs/>
        </w:rPr>
        <w:t xml:space="preserve">Disable, Rotate, Notify, Revoke, Audit, Brief…</w:t>
      </w:r>
    </w:p>
    <w:p>
      <w:pPr>
        <w:pStyle w:val="Compact"/>
        <w:numPr>
          <w:ilvl w:val="0"/>
          <w:numId w:val="1001"/>
        </w:numPr>
      </w:pPr>
      <w:r>
        <w:t xml:space="preserve">Owner ROLE — never a personal name.</w:t>
      </w:r>
      <w:r>
        <w:t xml:space="preserve"> </w:t>
      </w:r>
      <w:r>
        <w:rPr>
          <w:i/>
          <w:iCs/>
        </w:rPr>
        <w:t xml:space="preserve">“Head of Engineering”</w:t>
      </w:r>
      <w:r>
        <w:t xml:space="preserve">, not</w:t>
      </w:r>
      <w:r>
        <w:t xml:space="preserve"> </w:t>
      </w:r>
      <w:r>
        <w:rPr>
          <w:i/>
          <w:iCs/>
        </w:rPr>
        <w:t xml:space="preserve">“Bayo”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Hour-precise deadline —</w:t>
      </w:r>
      <w:r>
        <w:t xml:space="preserve"> </w:t>
      </w:r>
      <w:r>
        <w:rPr>
          <w:i/>
          <w:iCs/>
        </w:rPr>
        <w:t xml:space="preserve">“within 24 hours”</w:t>
      </w:r>
      <w:r>
        <w:t xml:space="preserve">,</w:t>
      </w:r>
      <w:r>
        <w:t xml:space="preserve"> </w:t>
      </w:r>
      <w:r>
        <w:rPr>
          <w:i/>
          <w:iCs/>
        </w:rPr>
        <w:t xml:space="preserve">“by 06:00 UTC tomorrow”</w:t>
      </w:r>
      <w:r>
        <w:t xml:space="preserve">. Not</w:t>
      </w:r>
      <w:r>
        <w:t xml:space="preserve"> </w:t>
      </w:r>
      <w:r>
        <w:t xml:space="preserve">“ASAP”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At least two evidence citations.</w:t>
      </w:r>
    </w:p>
    <w:p>
      <w:pPr>
        <w:pStyle w:val="Compact"/>
        <w:numPr>
          <w:ilvl w:val="0"/>
          <w:numId w:val="1001"/>
        </w:numPr>
      </w:pPr>
      <w:r>
        <w:t xml:space="preserve">The one risk this action does NOT close.</w:t>
      </w:r>
    </w:p>
    <w:bookmarkStart w:id="11" w:name="action-1-verb-first-one-line-title"/>
    <w:p>
      <w:pPr>
        <w:pStyle w:val="Heading3"/>
      </w:pPr>
      <w:r>
        <w:t xml:space="preserve">Action 1: [Verb-first one-line title]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[Role, not a personal name]</w:t>
      </w:r>
      <w:r>
        <w:t xml:space="preserve"> </w:t>
      </w:r>
      <w:r>
        <w:rPr>
          <w:b/>
          <w:bCs/>
        </w:rPr>
        <w:t xml:space="preserve">Deadline:</w:t>
      </w:r>
      <w:r>
        <w:t xml:space="preserve"> </w:t>
      </w:r>
      <w:r>
        <w:t xml:space="preserve">[Hour-precise]</w:t>
      </w:r>
      <w:r>
        <w:t xml:space="preserve"> </w:t>
      </w:r>
      <w:r>
        <w:rPr>
          <w:b/>
          <w:bCs/>
        </w:rPr>
        <w:t xml:space="preserve">Evidence cited:</w:t>
      </w:r>
      <w:r>
        <w:t xml:space="preserve"> </w:t>
      </w:r>
      <w:r>
        <w:t xml:space="preserve">[file:line]; [ticket ID]</w:t>
      </w:r>
    </w:p>
    <w:p>
      <w:pPr>
        <w:pStyle w:val="BodyText"/>
      </w:pPr>
      <w:r>
        <w:t xml:space="preserve">[Paragraph 60–100 words. Why this action, how it ties to the evidence, what it accomplishes. End with:</w:t>
      </w:r>
      <w:r>
        <w:t xml:space="preserve"> </w:t>
      </w:r>
      <w:r>
        <w:t xml:space="preserve">“This action does NOT close [the one specific risk it leaves open].”</w:t>
      </w:r>
      <w:r>
        <w:t xml:space="preserve">]</w:t>
      </w:r>
    </w:p>
    <w:bookmarkEnd w:id="11"/>
    <w:bookmarkStart w:id="12" w:name="action-2-verb-first-one-line-title"/>
    <w:p>
      <w:pPr>
        <w:pStyle w:val="Heading3"/>
      </w:pPr>
      <w:r>
        <w:t xml:space="preserve">Action 2: [Verb-first one-line title]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[Role]</w:t>
      </w:r>
      <w:r>
        <w:t xml:space="preserve"> </w:t>
      </w:r>
      <w:r>
        <w:rPr>
          <w:b/>
          <w:bCs/>
        </w:rPr>
        <w:t xml:space="preserve">Deadline:</w:t>
      </w:r>
      <w:r>
        <w:t xml:space="preserve"> </w:t>
      </w:r>
      <w:r>
        <w:t xml:space="preserve">[Hour-precise]</w:t>
      </w:r>
      <w:r>
        <w:t xml:space="preserve"> </w:t>
      </w:r>
      <w:r>
        <w:rPr>
          <w:b/>
          <w:bCs/>
        </w:rPr>
        <w:t xml:space="preserve">Evidence cited:</w:t>
      </w:r>
      <w:r>
        <w:t xml:space="preserve"> </w:t>
      </w:r>
      <w:r>
        <w:t xml:space="preserve">[cite]; [cite]</w:t>
      </w:r>
    </w:p>
    <w:p>
      <w:pPr>
        <w:pStyle w:val="BodyText"/>
      </w:pPr>
      <w:r>
        <w:t xml:space="preserve">[Paragraph 60–100 words ending with the un-closed risk.]</w:t>
      </w:r>
    </w:p>
    <w:bookmarkEnd w:id="12"/>
    <w:bookmarkStart w:id="13" w:name="action-3-verb-first-one-line-title"/>
    <w:p>
      <w:pPr>
        <w:pStyle w:val="Heading3"/>
      </w:pPr>
      <w:r>
        <w:t xml:space="preserve">Action 3: [Verb-first one-line title]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[Role]</w:t>
      </w:r>
      <w:r>
        <w:t xml:space="preserve"> </w:t>
      </w:r>
      <w:r>
        <w:rPr>
          <w:b/>
          <w:bCs/>
        </w:rPr>
        <w:t xml:space="preserve">Deadline:</w:t>
      </w:r>
      <w:r>
        <w:t xml:space="preserve"> </w:t>
      </w:r>
      <w:r>
        <w:t xml:space="preserve">[Hour-precise]</w:t>
      </w:r>
      <w:r>
        <w:t xml:space="preserve"> </w:t>
      </w:r>
      <w:r>
        <w:rPr>
          <w:b/>
          <w:bCs/>
        </w:rPr>
        <w:t xml:space="preserve">Evidence cited:</w:t>
      </w:r>
      <w:r>
        <w:t xml:space="preserve"> </w:t>
      </w:r>
      <w:r>
        <w:t xml:space="preserve">[cite]; [cite]</w:t>
      </w:r>
    </w:p>
    <w:p>
      <w:pPr>
        <w:pStyle w:val="BodyText"/>
      </w:pPr>
      <w:r>
        <w:t xml:space="preserve">[Paragraph 60–100 words ending with the un-closed risk.]</w:t>
      </w:r>
    </w:p>
    <w:bookmarkEnd w:id="13"/>
    <w:bookmarkEnd w:id="14"/>
    <w:bookmarkStart w:id="15" w:name="X337433e06ffe63182c27848548b3df705face61"/>
    <w:p>
      <w:pPr>
        <w:pStyle w:val="Heading2"/>
      </w:pPr>
      <w:r>
        <w:t xml:space="preserve">Page 5 — Systemic recommendation and evidence appendix</w:t>
      </w:r>
    </w:p>
    <w:p>
      <w:pPr>
        <w:pStyle w:val="FirstParagraph"/>
      </w:pPr>
      <w:r>
        <w:rPr>
          <w:b/>
          <w:bCs/>
        </w:rPr>
        <w:t xml:space="preserve">Systemic recommendation (one paragraph, ~120 words):</w:t>
      </w:r>
    </w:p>
    <w:p>
      <w:pPr>
        <w:pStyle w:val="BlockText"/>
      </w:pPr>
      <w:r>
        <w:t xml:space="preserve">[Must be a policy or process change. Must NOT be a tool purchase. Must NOT be a hiring ask. Must cite at least one row from D2’s dismissal-pattern analysis as justification. Acceptable shape:</w:t>
      </w:r>
      <w:r>
        <w:t xml:space="preserve"> </w:t>
      </w:r>
      <w:r>
        <w:t xml:space="preserve">“Quarterly access review with mandatory revocation within 72 hours of any offboarding, signed off by a second analyst. This addresses the dismissal pattern documented in D2 around SD-[####] and SD-[####].”</w:t>
      </w:r>
      <w:r>
        <w:t xml:space="preserve"> </w:t>
      </w:r>
      <w:r>
        <w:t xml:space="preserve">Unacceptable:</w:t>
      </w:r>
      <w:r>
        <w:t xml:space="preserve"> </w:t>
      </w:r>
      <w:r>
        <w:t xml:space="preserve">“Buy a better SIEM”</w:t>
      </w:r>
      <w:r>
        <w:t xml:space="preserve">,</w:t>
      </w:r>
      <w:r>
        <w:t xml:space="preserve"> </w:t>
      </w:r>
      <w:r>
        <w:t xml:space="preserve">“Hire more analysts”</w:t>
      </w:r>
      <w:r>
        <w:t xml:space="preserve">,</w:t>
      </w:r>
      <w:r>
        <w:t xml:space="preserve"> </w:t>
      </w:r>
      <w:r>
        <w:t xml:space="preserve">“Improve security awareness”</w:t>
      </w:r>
      <w:r>
        <w:t xml:space="preserve">.]</w:t>
      </w:r>
    </w:p>
    <w:p>
      <w:pPr>
        <w:pStyle w:val="FirstParagraph"/>
      </w:pPr>
      <w:r>
        <w:rPr>
          <w:b/>
          <w:bCs/>
        </w:rPr>
        <w:t xml:space="preserve">Evidence appendix (bulleted, exhaustive):</w:t>
      </w:r>
    </w:p>
    <w:p>
      <w:pPr>
        <w:pStyle w:val="BlockText"/>
      </w:pPr>
      <w:r>
        <w:t xml:space="preserve">Every file, line, ticket, and external reference cited across D1, D2, D3 lives here. Format: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auth-log-q2.txt:14</w:t>
      </w:r>
      <w:r>
        <w:t xml:space="preserve"> </w:t>
      </w:r>
      <w:r>
        <w:t xml:space="preserve">— accepted publickey from 185.220.101.9 (SD-40812 trigger)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tier-1-ticket-history.csv</w:t>
      </w:r>
      <w:r>
        <w:t xml:space="preserve"> </w:t>
      </w:r>
      <w:r>
        <w:t xml:space="preserve">row 12 (SD-40835) — repeat publickey access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sankofa-roster.csv</w:t>
      </w:r>
      <w:r>
        <w:t xml:space="preserve"> </w:t>
      </w:r>
      <w:r>
        <w:t xml:space="preserve">row 47 — a.eze offboarded 2024-05-30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encoded-strings.txt</w:t>
      </w:r>
      <w:r>
        <w:t xml:space="preserve"> </w:t>
      </w:r>
      <w:r>
        <w:t xml:space="preserve">payload 3 — decodes to threat actor name</w:t>
      </w:r>
    </w:p>
    <w:p>
      <w:pPr>
        <w:pStyle w:val="Compact"/>
        <w:numPr>
          <w:ilvl w:val="0"/>
          <w:numId w:val="1002"/>
        </w:numPr>
      </w:pPr>
      <w:r>
        <w:t xml:space="preserve">NIST CSF function: Detect (DE)</w:t>
      </w:r>
    </w:p>
    <w:p>
      <w:pPr>
        <w:pStyle w:val="Compact"/>
        <w:numPr>
          <w:ilvl w:val="0"/>
          <w:numId w:val="1002"/>
        </w:numPr>
      </w:pPr>
      <w:r>
        <w:t xml:space="preserve">MITRE ATT&amp;CK technique: T1078 — Valid Accounts</w:t>
      </w:r>
    </w:p>
    <w:p>
      <w:pPr>
        <w:pStyle w:val="Compact"/>
        <w:numPr>
          <w:ilvl w:val="0"/>
          <w:numId w:val="1002"/>
        </w:numPr>
      </w:pPr>
      <w:r>
        <w:t xml:space="preserve">ISO 27001:2022 Annex A.9.2.6 — Removal of access rights</w:t>
      </w:r>
    </w:p>
    <w:p>
      <w:pPr>
        <w:pStyle w:val="BlockText"/>
      </w:pPr>
      <w:r>
        <w:t xml:space="preserve">[Replace these placeholders with the actual citations you used. The appendix is the only place IDs may appear in their full form.]</w:t>
      </w:r>
    </w:p>
    <w:bookmarkEnd w:id="15"/>
    <w:bookmarkStart w:id="16" w:name="pre-submission-checklist-for-d3"/>
    <w:p>
      <w:pPr>
        <w:pStyle w:val="Heading2"/>
      </w:pPr>
      <w:r>
        <w:t xml:space="preserve">Pre-submission checklist for D3</w:t>
      </w:r>
    </w:p>
    <w:p>
      <w:pPr>
        <w:pStyle w:val="Compact"/>
        <w:numPr>
          <w:ilvl w:val="0"/>
          <w:numId w:val="1003"/>
        </w:numPr>
      </w:pPr>
      <w:r>
        <w:t xml:space="preserve">Page 1 first sentence is the conclusion stated as a fact.</w:t>
      </w:r>
    </w:p>
    <w:p>
      <w:pPr>
        <w:pStyle w:val="Compact"/>
        <w:numPr>
          <w:ilvl w:val="0"/>
          <w:numId w:val="1004"/>
        </w:numPr>
      </w:pPr>
      <w:r>
        <w:t xml:space="preserve">Page 1 contains NO MITRE/NIST/ISO IDs in prose.</w:t>
      </w:r>
    </w:p>
    <w:p>
      <w:pPr>
        <w:pStyle w:val="Compact"/>
        <w:numPr>
          <w:ilvl w:val="0"/>
          <w:numId w:val="1005"/>
        </w:numPr>
      </w:pPr>
      <w:r>
        <w:t xml:space="preserve">Page 2 includes one external reference named in plain language.</w:t>
      </w:r>
    </w:p>
    <w:p>
      <w:pPr>
        <w:pStyle w:val="Compact"/>
        <w:numPr>
          <w:ilvl w:val="0"/>
          <w:numId w:val="1006"/>
        </w:numPr>
      </w:pPr>
      <w:r>
        <w:t xml:space="preserve">Page 2 honestly names something the evidence does NOT prove.</w:t>
      </w:r>
    </w:p>
    <w:p>
      <w:pPr>
        <w:pStyle w:val="Compact"/>
        <w:numPr>
          <w:ilvl w:val="0"/>
          <w:numId w:val="1007"/>
        </w:numPr>
      </w:pPr>
      <w:r>
        <w:t xml:space="preserve">Three 72-hour actions, each with: verb-first, owner role, hour deadline, ≥ 2 citations, the un-closed risk.</w:t>
      </w:r>
    </w:p>
    <w:p>
      <w:pPr>
        <w:pStyle w:val="Compact"/>
        <w:numPr>
          <w:ilvl w:val="0"/>
          <w:numId w:val="1008"/>
        </w:numPr>
      </w:pPr>
      <w:r>
        <w:t xml:space="preserve">Owners are roles. No personal names anywhere in the actions.</w:t>
      </w:r>
    </w:p>
    <w:p>
      <w:pPr>
        <w:pStyle w:val="Compact"/>
        <w:numPr>
          <w:ilvl w:val="0"/>
          <w:numId w:val="1009"/>
        </w:numPr>
      </w:pPr>
      <w:r>
        <w:t xml:space="preserve">Systemic recommendation is policy or process — NOT tools, NOT hiring.</w:t>
      </w:r>
    </w:p>
    <w:p>
      <w:pPr>
        <w:pStyle w:val="Compact"/>
        <w:numPr>
          <w:ilvl w:val="0"/>
          <w:numId w:val="1010"/>
        </w:numPr>
      </w:pPr>
      <w:r>
        <w:t xml:space="preserve">Systemic recommendation cites D2 rows by ticket ID.</w:t>
      </w:r>
    </w:p>
    <w:p>
      <w:pPr>
        <w:pStyle w:val="Compact"/>
        <w:numPr>
          <w:ilvl w:val="0"/>
          <w:numId w:val="1011"/>
        </w:numPr>
      </w:pPr>
      <w:r>
        <w:t xml:space="preserve">Evidence appendix is complete and traceable.</w:t>
      </w:r>
    </w:p>
    <w:p>
      <w:pPr>
        <w:pStyle w:val="Compact"/>
        <w:numPr>
          <w:ilvl w:val="0"/>
          <w:numId w:val="1012"/>
        </w:numPr>
      </w:pPr>
      <w:r>
        <w:t xml:space="preserve">All</w:t>
      </w:r>
      <w:r>
        <w:t xml:space="preserve"> </w:t>
      </w:r>
      <w:r>
        <w:rPr>
          <w:rStyle w:val="VerbatimChar"/>
        </w:rPr>
        <w:t xml:space="preserve">[BRACKETED]</w:t>
      </w:r>
      <w:r>
        <w:t xml:space="preserve"> </w:t>
      </w:r>
      <w:r>
        <w:t xml:space="preserve">prompts removed.</w:t>
      </w:r>
    </w:p>
    <w:p>
      <w:r>
        <w:pict>
          <v:rect style="width:0;height:1.5pt" o:hralign="center" o:hrstd="t" o:hr="t"/>
        </w:pic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2026-06-03T19:44:03Z</dcterms:created>
  <dcterms:modified xsi:type="dcterms:W3CDTF">2026-06-03T19:44:03Z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