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0 capstone</w:t>
      </w:r>
    </w:p>
    <w:p>
      <w:pPr>
        <w:pStyle w:val="BodyText"/>
      </w:pPr>
      <w:r>
        <w:rPr>
          <w:i/>
          <w:iCs/>
        </w:rPr>
        <w:t xml:space="preserve">This is the editable template for one deliverable. Make a copy in Google Docs or open it in Microsoft Word, replace every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[BRACKETED]</w:t>
      </w:r>
      <w:r>
        <w:rPr>
          <w:i/>
          <w:iCs/>
        </w:rPr>
        <w:t xml:space="preserve"> </w:t>
      </w:r>
      <w:r>
        <w:rPr>
          <w:i/>
          <w:iCs/>
        </w:rPr>
        <w:t xml:space="preserve">prompt with your own writing, and save as PDF or DOCX into your one shared Drive folder. Delete every bracketed prompt before you submit — if a placeholder is still in your file, the grader will mark that section incomplete.</w:t>
      </w:r>
    </w:p>
    <w:bookmarkStart w:id="12" w:name="deliverable-4-judgment-essay"/>
    <w:p>
      <w:pPr>
        <w:pStyle w:val="Heading1"/>
      </w:pPr>
      <w:r>
        <w:t xml:space="preserve">Deliverable 4 — Judgment essay</w:t>
      </w:r>
    </w:p>
    <w:p>
      <w:pPr>
        <w:pStyle w:val="FirstParagraph"/>
      </w:pPr>
      <w:r>
        <w:rPr>
          <w:i/>
          <w:iCs/>
        </w:rPr>
        <w:t xml:space="preserve">Length: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2 pages</w:t>
      </w:r>
      <w:r>
        <w:rPr>
          <w:i/>
          <w:iCs/>
        </w:rPr>
        <w:t xml:space="preserve">. Two prompts. Neither has a correct answer.</w:t>
      </w:r>
    </w:p>
    <w:p>
      <w:pPr>
        <w:pStyle w:val="BodyText"/>
      </w:pPr>
      <w:r>
        <w:rPr>
          <w:b/>
          <w:bCs/>
        </w:rPr>
        <w:t xml:space="preserve">Honesty rule.</w:t>
      </w:r>
      <w:r>
        <w:t xml:space="preserve"> </w:t>
      </w:r>
      <w:r>
        <w:t xml:space="preserve">Two graders read every D4 independently. If both flag it as generic or untraceable to your own D1/D2 work, this deliverable is treated as not submitted, and the AI-use penalty may also apply. D4 must be in YOUR voice, anchored to YOUR analysis.</w:t>
      </w:r>
    </w:p>
    <w:bookmarkStart w:id="9" w:name="Xa6eb4580137330e424956e7db18d91d3b009f76"/>
    <w:p>
      <w:pPr>
        <w:pStyle w:val="Heading2"/>
      </w:pPr>
      <w:r>
        <w:t xml:space="preserve">Page 1 — Part A: The ethics call (350–450 words)</w:t>
      </w:r>
    </w:p>
    <w:p>
      <w:pPr>
        <w:pStyle w:val="SourceCode"/>
      </w:pPr>
      <w:r>
        <w:rPr>
          <w:rStyle w:val="VerbatimChar"/>
        </w:rPr>
        <w:t xml:space="preserve">Stage 0 Capstone · Deliverable 4 · Part A</w:t>
      </w:r>
      <w:r>
        <w:br/>
      </w:r>
      <w:r>
        <w:rPr>
          <w:rStyle w:val="VerbatimChar"/>
        </w:rPr>
        <w:t xml:space="preserve">The ethics call</w:t>
      </w:r>
      <w:r>
        <w:br/>
      </w:r>
      <w:r>
        <w:br/>
      </w:r>
      <w:r>
        <w:rPr>
          <w:rStyle w:val="VerbatimChar"/>
        </w:rPr>
        <w:t xml:space="preserve">[Your name] · [UBI intern code] · [Date]</w:t>
      </w:r>
    </w:p>
    <w:p>
      <w:pPr>
        <w:pStyle w:val="FirstParagraph"/>
      </w:pPr>
      <w:r>
        <w:rPr>
          <w:b/>
          <w:bCs/>
        </w:rPr>
        <w:t xml:space="preserve">The prompt (paste verbatim into your Doc so the reader has context):</w:t>
      </w:r>
    </w:p>
    <w:p>
      <w:pPr>
        <w:pStyle w:val="BlockText"/>
      </w:pPr>
      <w:r>
        <w:rPr>
          <w:i/>
          <w:iCs/>
        </w:rPr>
        <w:t xml:space="preserve">You are the new Tier-1 analyst. After finishing your D1 evidence table you realise the threat actor 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encoded-strings.txt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actor active in tickets your predecessor closed as</w:t>
      </w:r>
      <w:r>
        <w:rPr>
          <w:i/>
          <w:iCs/>
        </w:rPr>
        <w:t xml:space="preserve"> </w:t>
      </w:r>
      <w:r>
        <w:rPr>
          <w:i/>
          <w:iCs/>
        </w:rPr>
        <w:t xml:space="preserve">“probably nothing”</w:t>
      </w:r>
      <w:r>
        <w:rPr>
          <w:i/>
          <w:iCs/>
        </w:rPr>
        <w:t xml:space="preserve">. You raise it with your direct manager. He says:</w:t>
      </w:r>
      <w:r>
        <w:rPr>
          <w:i/>
          <w:iCs/>
        </w:rPr>
        <w:t xml:space="preserve"> </w:t>
      </w:r>
      <w:r>
        <w:rPr>
          <w:i/>
          <w:iCs/>
        </w:rPr>
        <w:t xml:space="preserve">“Just close it. The senior VP whose account is involved is in board meetings all week, and we are not going to spoil his quarter.”</w:t>
      </w:r>
    </w:p>
    <w:p>
      <w:pPr>
        <w:pStyle w:val="BlockText"/>
      </w:pPr>
      <w:r>
        <w:rPr>
          <w:i/>
          <w:iCs/>
        </w:rPr>
        <w:t xml:space="preserve">Write your response.</w:t>
      </w:r>
    </w:p>
    <w:p>
      <w:pPr>
        <w:pStyle w:val="FirstParagraph"/>
      </w:pPr>
      <w:r>
        <w:rPr>
          <w:b/>
          <w:bCs/>
        </w:rPr>
        <w:t xml:space="preserve">Your response — 350–450 words. Cover all four points below. Use the headings or keep it as flowing prose; either is acceptable.</w:t>
      </w:r>
    </w:p>
    <w:p>
      <w:pPr>
        <w:pStyle w:val="BodyText"/>
      </w:pPr>
      <w:r>
        <w:rPr>
          <w:b/>
          <w:bCs/>
        </w:rPr>
        <w:t xml:space="preserve">1. What you would do, concretely.</w:t>
      </w:r>
    </w:p>
    <w:p>
      <w:pPr>
        <w:pStyle w:val="BlockText"/>
      </w:pPr>
      <w:r>
        <w:t xml:space="preserve">[Step by step.</w:t>
      </w:r>
      <w:r>
        <w:t xml:space="preserve"> </w:t>
      </w:r>
      <w:r>
        <w:t xml:space="preserve">“First, I would…. Second, I would…. Within 24 hours I would….”</w:t>
      </w:r>
      <w:r>
        <w:t xml:space="preserve"> </w:t>
      </w:r>
      <w:r>
        <w:t xml:space="preserve">Be specific about the artefacts you would gather and the channels you would use.]</w:t>
      </w:r>
    </w:p>
    <w:p>
      <w:pPr>
        <w:pStyle w:val="FirstParagraph"/>
      </w:pPr>
      <w:r>
        <w:rPr>
          <w:b/>
          <w:bCs/>
        </w:rPr>
        <w:t xml:space="preserve">2. What you would NOT do, and why.</w:t>
      </w:r>
    </w:p>
    <w:p>
      <w:pPr>
        <w:pStyle w:val="BlockText"/>
      </w:pPr>
      <w:r>
        <w:t xml:space="preserve">[At least one specific refusal.</w:t>
      </w:r>
      <w:r>
        <w:t xml:space="preserve"> </w:t>
      </w:r>
      <w:r>
        <w:t xml:space="preserve">“I would not close the ticket as</w:t>
      </w:r>
      <w:r>
        <w:t xml:space="preserve"> </w:t>
      </w:r>
      <w:r>
        <w:rPr>
          <w:rStyle w:val="VerbatimChar"/>
        </w:rPr>
        <w:t xml:space="preserve">resolved-by-reference</w:t>
      </w:r>
      <w:r>
        <w:t xml:space="preserve">. I would not verbally agree in the standup to drop it.”</w:t>
      </w:r>
      <w:r>
        <w:t xml:space="preserve"> </w:t>
      </w:r>
      <w:r>
        <w:t xml:space="preserve">Each refusal has a reason — name it.]</w:t>
      </w:r>
    </w:p>
    <w:p>
      <w:pPr>
        <w:pStyle w:val="FirstParagraph"/>
      </w:pPr>
      <w:r>
        <w:rPr>
          <w:b/>
          <w:bCs/>
        </w:rPr>
        <w:t xml:space="preserve">3. The ISC2 Code of Ethics canon that applies — by name.</w:t>
      </w:r>
    </w:p>
    <w:p>
      <w:pPr>
        <w:pStyle w:val="BlockText"/>
      </w:pPr>
      <w:r>
        <w:t xml:space="preserve">The four canons are:</w:t>
      </w:r>
    </w:p>
    <w:p>
      <w:pPr>
        <w:pStyle w:val="Compact"/>
        <w:numPr>
          <w:ilvl w:val="0"/>
          <w:numId w:val="1001"/>
        </w:numPr>
      </w:pPr>
      <w:r>
        <w:t xml:space="preserve">Canon I: Protect society, the common good, necessary public trust and confidence, and the infrastructure.</w:t>
      </w:r>
    </w:p>
    <w:p>
      <w:pPr>
        <w:pStyle w:val="Compact"/>
        <w:numPr>
          <w:ilvl w:val="0"/>
          <w:numId w:val="1001"/>
        </w:numPr>
      </w:pPr>
      <w:r>
        <w:t xml:space="preserve">Canon II: Act honorably, honestly, justly, responsibly, and legally.</w:t>
      </w:r>
    </w:p>
    <w:p>
      <w:pPr>
        <w:pStyle w:val="Compact"/>
        <w:numPr>
          <w:ilvl w:val="0"/>
          <w:numId w:val="1001"/>
        </w:numPr>
      </w:pPr>
      <w:r>
        <w:t xml:space="preserve">Canon III: Provide diligent and competent service to principals.</w:t>
      </w:r>
    </w:p>
    <w:p>
      <w:pPr>
        <w:pStyle w:val="Compact"/>
        <w:numPr>
          <w:ilvl w:val="0"/>
          <w:numId w:val="1001"/>
        </w:numPr>
      </w:pPr>
      <w:r>
        <w:t xml:space="preserve">Canon IV: Advance and protect the profession.</w:t>
      </w:r>
    </w:p>
    <w:p>
      <w:pPr>
        <w:pStyle w:val="BlockText"/>
      </w:pPr>
      <w:r>
        <w:t xml:space="preserve">[Name ONE canon (Canon I, II, III, or IV) and explain in 2–3 sentences why it applies to THIS specific situation. Do not just paraphrase the canon — connect it to the manager’s instruction and your refusal.]</w:t>
      </w:r>
    </w:p>
    <w:p>
      <w:pPr>
        <w:pStyle w:val="FirstParagraph"/>
      </w:pPr>
      <w:r>
        <w:rPr>
          <w:b/>
          <w:bCs/>
        </w:rPr>
        <w:t xml:space="preserve">4. Who you would escalate to next, in what order, and what you would actually say.</w:t>
      </w:r>
    </w:p>
    <w:p>
      <w:pPr>
        <w:pStyle w:val="BlockText"/>
      </w:pPr>
      <w:r>
        <w:t xml:space="preserve">[Be specific — name the role, the channel (email, in-person, ticket comment), and a one-line version of your escalation message.]</w:t>
      </w:r>
    </w:p>
    <w:p>
      <w:pPr>
        <w:pStyle w:val="FirstParagraph"/>
      </w:pPr>
      <w:r>
        <w:rPr>
          <w:b/>
          <w:bCs/>
        </w:rPr>
        <w:t xml:space="preserve">Demonstrate the trade-off.</w:t>
      </w:r>
      <w:r>
        <w:t xml:space="preserve"> </w:t>
      </w:r>
      <w:r>
        <w:t xml:space="preserve">A strong answer acknowledges what the right thing COSTS you — your career, your relationship with the manager, the temporary disruption to the VP’s week — and chooses it anyway. A weak answer recites policy without naming the cost.</w:t>
      </w:r>
    </w:p>
    <w:bookmarkEnd w:id="9"/>
    <w:bookmarkStart w:id="10" w:name="page-2-part-b-the-scenario-300400-words"/>
    <w:p>
      <w:pPr>
        <w:pStyle w:val="Heading2"/>
      </w:pPr>
      <w:r>
        <w:t xml:space="preserve">Page 2 — Part B: The scenario (300–400 words)</w:t>
      </w:r>
    </w:p>
    <w:p>
      <w:pPr>
        <w:pStyle w:val="SourceCode"/>
      </w:pPr>
      <w:r>
        <w:rPr>
          <w:rStyle w:val="VerbatimChar"/>
        </w:rPr>
        <w:t xml:space="preserve">Stage 0 Capstone · Deliverable 4 · Part B</w:t>
      </w:r>
      <w:r>
        <w:br/>
      </w:r>
      <w:r>
        <w:rPr>
          <w:rStyle w:val="VerbatimChar"/>
        </w:rPr>
        <w:t xml:space="preserve">The scenario</w:t>
      </w:r>
    </w:p>
    <w:p>
      <w:pPr>
        <w:pStyle w:val="FirstParagraph"/>
      </w:pPr>
      <w:r>
        <w:rPr>
          <w:b/>
          <w:bCs/>
        </w:rPr>
        <w:t xml:space="preserve">The prompt (paste verbatim):</w:t>
      </w:r>
    </w:p>
    <w:p>
      <w:pPr>
        <w:pStyle w:val="BlockText"/>
      </w:pPr>
      <w:r>
        <w:rPr>
          <w:i/>
          <w:iCs/>
        </w:rPr>
        <w:t xml:space="preserve">At 04:47 WAT on a Tuesday, you (Tier-1 analyst on the night shift) receive this alert from the SIEM:</w:t>
      </w:r>
    </w:p>
    <w:p>
      <w:pPr>
        <w:pStyle w:val="BlockText"/>
      </w:pPr>
      <w:r>
        <w:rPr>
          <w:i/>
          <w:iCs/>
        </w:rPr>
        <w:t xml:space="preserve">User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o.adegoke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(Operations Manager) just authenticated via publickey from a residential ISP in Lagos. Her last successful login was 18:30 yesterday from the office. She is not on the on-call roster. Her offboarding ticket SD-40901 is open with the note</w:t>
      </w:r>
      <w:r>
        <w:rPr>
          <w:i/>
          <w:iCs/>
        </w:rPr>
        <w:t xml:space="preserve"> </w:t>
      </w:r>
      <w:r>
        <w:rPr>
          <w:i/>
          <w:iCs/>
        </w:rPr>
        <w:t xml:space="preserve">“departure date 30 June, key revocation pending”</w:t>
      </w:r>
      <w:r>
        <w:rPr>
          <w:i/>
          <w:iCs/>
        </w:rPr>
        <w:t xml:space="preserve">.</w:t>
      </w:r>
    </w:p>
    <w:p>
      <w:pPr>
        <w:pStyle w:val="BlockText"/>
      </w:pPr>
      <w:r>
        <w:rPr>
          <w:i/>
          <w:iCs/>
        </w:rPr>
        <w:t xml:space="preserve">You have 30 minutes before shift handover. What do you do?</w:t>
      </w:r>
    </w:p>
    <w:p>
      <w:pPr>
        <w:pStyle w:val="FirstParagraph"/>
      </w:pPr>
      <w:r>
        <w:rPr>
          <w:b/>
          <w:bCs/>
        </w:rPr>
        <w:t xml:space="preserve">Your response — 300–400 words. Walk through all four:</w:t>
      </w:r>
    </w:p>
    <w:p>
      <w:pPr>
        <w:pStyle w:val="BodyText"/>
      </w:pPr>
      <w:r>
        <w:rPr>
          <w:b/>
          <w:bCs/>
        </w:rPr>
        <w:t xml:space="preserve">1. What you investigated FIRST and why.</w:t>
      </w:r>
    </w:p>
    <w:p>
      <w:pPr>
        <w:pStyle w:val="BlockText"/>
      </w:pPr>
      <w:r>
        <w:t xml:space="preserve">[Investigation order matters. Name your first three checks in order. For at least one of them, reference a finding from your own D1 table that informed why you would check that thing first.]</w:t>
      </w:r>
    </w:p>
    <w:p>
      <w:pPr>
        <w:pStyle w:val="FirstParagraph"/>
      </w:pPr>
      <w:r>
        <w:rPr>
          <w:b/>
          <w:bCs/>
        </w:rPr>
        <w:t xml:space="preserve">2. Who you escalated to, at what point, and what specifically triggered it.</w:t>
      </w:r>
    </w:p>
    <w:p>
      <w:pPr>
        <w:pStyle w:val="BlockText"/>
      </w:pPr>
      <w:r>
        <w:t xml:space="preserve">[Be specific:</w:t>
      </w:r>
      <w:r>
        <w:t xml:space="preserve"> </w:t>
      </w:r>
      <w:r>
        <w:t xml:space="preserve">“When I saw [X], I would escalate to [role] via [channel] because [reason].”</w:t>
      </w:r>
      <w:r>
        <w:t xml:space="preserve"> </w:t>
      </w:r>
      <w:r>
        <w:t xml:space="preserve">Name the trigger and the channel.]</w:t>
      </w:r>
    </w:p>
    <w:p>
      <w:pPr>
        <w:pStyle w:val="FirstParagraph"/>
      </w:pPr>
      <w:r>
        <w:rPr>
          <w:b/>
          <w:bCs/>
        </w:rPr>
        <w:t xml:space="preserve">3. What you chose NOT to do, and why.</w:t>
      </w:r>
    </w:p>
    <w:p>
      <w:pPr>
        <w:pStyle w:val="BlockText"/>
      </w:pPr>
      <w:r>
        <w:t xml:space="preserve">[Did you lock her account? Contact her directly? Involve HR? Open a fresh ticket or append to SD-40901? Each choice has a tradeoff — name it. Restraint is part of judgment.]</w:t>
      </w:r>
    </w:p>
    <w:p>
      <w:pPr>
        <w:pStyle w:val="FirstParagraph"/>
      </w:pPr>
      <w:r>
        <w:rPr>
          <w:b/>
          <w:bCs/>
        </w:rPr>
        <w:t xml:space="preserve">4. Your handover note for the next shift.</w:t>
      </w:r>
    </w:p>
    <w:p>
      <w:pPr>
        <w:pStyle w:val="BlockText"/>
      </w:pPr>
      <w:r>
        <w:t xml:space="preserve">[2–3 sentences, written as you would actually send it. What state did you leave the investigation in? What does the morning shift need to pick up?]</w:t>
      </w:r>
    </w:p>
    <w:p>
      <w:pPr>
        <w:pStyle w:val="FirstParagraph"/>
      </w:pPr>
      <w:r>
        <w:rPr>
          <w:b/>
          <w:bCs/>
        </w:rPr>
        <w:t xml:space="preserve">Tie at least one paragraph to your own D1 or D2 work.</w:t>
      </w:r>
      <w:r>
        <w:t xml:space="preserve"> </w:t>
      </w:r>
      <w:r>
        <w:t xml:space="preserve">A grader reading this page should be able to tell it was written by someone who actually did Stage 0 — not by someone who could have been handed the scenario in isolation. Cite a specific row, ticket, or file from your earlier analysis.</w:t>
      </w:r>
    </w:p>
    <w:bookmarkEnd w:id="10"/>
    <w:bookmarkStart w:id="11" w:name="pre-submission-checklist-for-d4"/>
    <w:p>
      <w:pPr>
        <w:pStyle w:val="Heading2"/>
      </w:pPr>
      <w:r>
        <w:t xml:space="preserve">Pre-submission checklist for D4</w:t>
      </w:r>
    </w:p>
    <w:p>
      <w:pPr>
        <w:pStyle w:val="Compact"/>
        <w:numPr>
          <w:ilvl w:val="0"/>
          <w:numId w:val="1002"/>
        </w:numPr>
      </w:pPr>
      <w:r>
        <w:t xml:space="preserve">Exactly 2 pages.</w:t>
      </w:r>
    </w:p>
    <w:p>
      <w:pPr>
        <w:pStyle w:val="Compact"/>
        <w:numPr>
          <w:ilvl w:val="0"/>
          <w:numId w:val="1003"/>
        </w:numPr>
      </w:pPr>
      <w:r>
        <w:t xml:space="preserve">Part A is 350–450 words.</w:t>
      </w:r>
    </w:p>
    <w:p>
      <w:pPr>
        <w:pStyle w:val="Compact"/>
        <w:numPr>
          <w:ilvl w:val="0"/>
          <w:numId w:val="1004"/>
        </w:numPr>
      </w:pPr>
      <w:r>
        <w:t xml:space="preserve">Part B is 300–400 words.</w:t>
      </w:r>
    </w:p>
    <w:p>
      <w:pPr>
        <w:pStyle w:val="Compact"/>
        <w:numPr>
          <w:ilvl w:val="0"/>
          <w:numId w:val="1005"/>
        </w:numPr>
      </w:pPr>
      <w:r>
        <w:t xml:space="preserve">Part A names an ISC2 canon by number and explains how it applies to this specific situation.</w:t>
      </w:r>
    </w:p>
    <w:p>
      <w:pPr>
        <w:pStyle w:val="Compact"/>
        <w:numPr>
          <w:ilvl w:val="0"/>
          <w:numId w:val="1006"/>
        </w:numPr>
      </w:pPr>
      <w:r>
        <w:t xml:space="preserve">Part A demonstrates the personal cost of the right choice.</w:t>
      </w:r>
    </w:p>
    <w:p>
      <w:pPr>
        <w:pStyle w:val="Compact"/>
        <w:numPr>
          <w:ilvl w:val="0"/>
          <w:numId w:val="1007"/>
        </w:numPr>
      </w:pPr>
      <w:r>
        <w:t xml:space="preserve">Part B references at least one specific row, ticket, or file from your own D1 or D2.</w:t>
      </w:r>
    </w:p>
    <w:p>
      <w:pPr>
        <w:pStyle w:val="Compact"/>
        <w:numPr>
          <w:ilvl w:val="0"/>
          <w:numId w:val="1008"/>
        </w:numPr>
      </w:pPr>
      <w:r>
        <w:t xml:space="preserve">Investigation order in Part B is explicit and reasoned.</w:t>
      </w:r>
    </w:p>
    <w:p>
      <w:pPr>
        <w:pStyle w:val="Compact"/>
        <w:numPr>
          <w:ilvl w:val="0"/>
          <w:numId w:val="1009"/>
        </w:numPr>
      </w:pPr>
      <w:r>
        <w:t xml:space="preserve">Part B names what you chose NOT to do, and why.</w:t>
      </w:r>
    </w:p>
    <w:p>
      <w:pPr>
        <w:pStyle w:val="Compact"/>
        <w:numPr>
          <w:ilvl w:val="0"/>
          <w:numId w:val="1010"/>
        </w:numPr>
      </w:pPr>
      <w:r>
        <w:t xml:space="preserve">Neither part reads like it could apply to any cohort.</w:t>
      </w:r>
    </w:p>
    <w:p>
      <w:pPr>
        <w:pStyle w:val="Compact"/>
        <w:numPr>
          <w:ilvl w:val="0"/>
          <w:numId w:val="1011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prompts removed.</w:t>
      </w:r>
    </w:p>
    <w:p>
      <w:r>
        <w:pict>
          <v:rect style="width:0;height:1.5pt" o:hralign="center" o:hrstd="t" o:hr="t"/>
        </w:pic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2026-06-03T19:44:03Z</dcterms:created>
  <dcterms:modified xsi:type="dcterms:W3CDTF">2026-06-03T19:44:03Z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