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4641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SLS-SEC-001 — Automation Safety Policy</w:t>
      </w:r>
      <w:r>
        <w:rPr>
          <w:rFonts w:ascii="Roboto" w:hAnsi="Roboto" w:eastAsia="Roboto" w:cs="Roboto"/>
        </w:rPr>
      </w:r>
    </w:p>
    <w:p w14:paraId="502326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Principle</w:t>
      </w:r>
      <w:r>
        <w:rPr>
          <w:rFonts w:ascii="Roboto" w:hAnsi="Roboto" w:eastAsia="Roboto" w:cs="Roboto"/>
        </w:rPr>
      </w:r>
    </w:p>
    <w:p w14:paraId="53099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Automation shall assist human judgment, never replace it for consequential actions.</w:t>
      </w:r>
      <w:r>
        <w:rPr>
          <w:rFonts w:ascii="Roboto" w:hAnsi="Roboto" w:eastAsia="Roboto" w:cs="Roboto"/>
        </w:rPr>
      </w:r>
    </w:p>
    <w:p w14:paraId="4CF4C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Automation may observe, analyze, summarize, recommend, and prepare work.</w:t>
      </w:r>
      <w:r>
        <w:rPr>
          <w:rFonts w:ascii="Roboto" w:hAnsi="Roboto" w:eastAsia="Roboto" w:cs="Roboto"/>
        </w:rPr>
      </w:r>
    </w:p>
    <w:p w14:paraId="0E22B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Automation shall </w:t>
      </w:r>
      <w:r>
        <w:rPr>
          <w:rFonts w:ascii="Roboto" w:hAnsi="Roboto" w:eastAsia="Roboto" w:cs="Roboto"/>
          <w:b/>
          <w:color w:val="000000"/>
          <w:sz w:val="24"/>
        </w:rPr>
        <w:t xml:space="preserve">not</w:t>
      </w:r>
      <w:r>
        <w:rPr>
          <w:rFonts w:ascii="Roboto" w:hAnsi="Roboto" w:eastAsia="Roboto" w:cs="Roboto"/>
          <w:color w:val="000000"/>
          <w:sz w:val="24"/>
        </w:rPr>
        <w:t xml:space="preserve"> independently authorize actions that could materially affect customers, security, platform integrity, legal obligations, or business relationships.</w:t>
      </w:r>
      <w:r>
        <w:rPr>
          <w:rFonts w:ascii="Roboto" w:hAnsi="Roboto" w:eastAsia="Roboto" w:cs="Roboto"/>
        </w:rPr>
      </w:r>
    </w:p>
    <w:p w14:paraId="400F030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🚫 No-Go Automation List</w:t>
      </w:r>
      <w:r>
        <w:rPr>
          <w:rFonts w:ascii="Roboto" w:hAnsi="Roboto" w:eastAsia="Roboto" w:cs="Roboto"/>
        </w:rPr>
      </w:r>
    </w:p>
    <w:p w14:paraId="11F18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following actions require explicit human approval and SHALL NOT be fully automated.</w:t>
      </w:r>
      <w:r>
        <w:rPr>
          <w:rFonts w:ascii="Roboto" w:hAnsi="Roboto" w:eastAsia="Roboto" w:cs="Roboto"/>
        </w:rPr>
      </w:r>
    </w:p>
    <w:p w14:paraId="5FE0CF1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Architecture</w:t>
      </w:r>
      <w:r>
        <w:rPr>
          <w:rFonts w:ascii="Roboto" w:hAnsi="Roboto" w:eastAsia="Roboto" w:cs="Roboto"/>
        </w:rPr>
      </w:r>
    </w:p>
    <w:p w14:paraId="0DD4E6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Autonomous architecture changes</w:t>
      </w:r>
      <w:r>
        <w:rPr>
          <w:rFonts w:ascii="Roboto" w:hAnsi="Roboto" w:eastAsia="Roboto" w:cs="Roboto"/>
        </w:rPr>
      </w:r>
    </w:p>
    <w:p w14:paraId="684611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structural refactoring</w:t>
      </w:r>
      <w:r>
        <w:rPr>
          <w:rFonts w:ascii="Roboto" w:hAnsi="Roboto" w:eastAsia="Roboto" w:cs="Roboto"/>
        </w:rPr>
      </w:r>
    </w:p>
    <w:p w14:paraId="556417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design-standard modifications</w:t>
      </w:r>
      <w:r>
        <w:rPr>
          <w:rFonts w:ascii="Roboto" w:hAnsi="Roboto" w:eastAsia="Roboto" w:cs="Roboto"/>
        </w:rPr>
      </w:r>
    </w:p>
    <w:p w14:paraId="65975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Reason:</w:t>
      </w:r>
      <w:r>
        <w:rPr>
          <w:rFonts w:ascii="Roboto" w:hAnsi="Roboto" w:eastAsia="Roboto" w:cs="Roboto"/>
          <w:color w:val="000000"/>
          <w:sz w:val="24"/>
        </w:rPr>
        <w:t xml:space="preserve"> Architecture is one of SLS's core intellectual assets.</w:t>
      </w:r>
      <w:r>
        <w:rPr>
          <w:rFonts w:ascii="Roboto" w:hAnsi="Roboto" w:eastAsia="Roboto" w:cs="Roboto"/>
        </w:rPr>
      </w:r>
    </w:p>
    <w:p w14:paraId="066332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Production</w:t>
      </w:r>
      <w:r>
        <w:rPr>
          <w:rFonts w:ascii="Roboto" w:hAnsi="Roboto" w:eastAsia="Roboto" w:cs="Roboto"/>
        </w:rPr>
      </w:r>
    </w:p>
    <w:p w14:paraId="1C7015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production deployments</w:t>
      </w:r>
      <w:r>
        <w:rPr>
          <w:rFonts w:ascii="Roboto" w:hAnsi="Roboto" w:eastAsia="Roboto" w:cs="Roboto"/>
        </w:rPr>
      </w:r>
    </w:p>
    <w:p w14:paraId="10DF64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database schema changes</w:t>
      </w:r>
      <w:r>
        <w:rPr>
          <w:rFonts w:ascii="Roboto" w:hAnsi="Roboto" w:eastAsia="Roboto" w:cs="Roboto"/>
        </w:rPr>
      </w:r>
    </w:p>
    <w:p w14:paraId="1A1F71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configuration promotion</w:t>
      </w:r>
      <w:r>
        <w:rPr>
          <w:rFonts w:ascii="Roboto" w:hAnsi="Roboto" w:eastAsia="Roboto" w:cs="Roboto"/>
        </w:rPr>
      </w:r>
    </w:p>
    <w:p w14:paraId="63716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Reason:</w:t>
      </w:r>
      <w:r>
        <w:rPr>
          <w:rFonts w:ascii="Roboto" w:hAnsi="Roboto" w:eastAsia="Roboto" w:cs="Roboto"/>
          <w:color w:val="000000"/>
          <w:sz w:val="24"/>
        </w:rPr>
        <w:t xml:space="preserve"> Every production release deserves deliberate review.</w:t>
      </w:r>
      <w:r>
        <w:rPr>
          <w:rFonts w:ascii="Roboto" w:hAnsi="Roboto" w:eastAsia="Roboto" w:cs="Roboto"/>
        </w:rPr>
      </w:r>
    </w:p>
    <w:p w14:paraId="6D8B22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Customer Decisions</w:t>
      </w:r>
      <w:r>
        <w:rPr>
          <w:rFonts w:ascii="Roboto" w:hAnsi="Roboto" w:eastAsia="Roboto" w:cs="Roboto"/>
        </w:rPr>
      </w:r>
    </w:p>
    <w:p w14:paraId="010478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acceptance or rejection of customers</w:t>
      </w:r>
      <w:r>
        <w:rPr>
          <w:rFonts w:ascii="Roboto" w:hAnsi="Roboto" w:eastAsia="Roboto" w:cs="Roboto"/>
        </w:rPr>
      </w:r>
    </w:p>
    <w:p w14:paraId="103145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pricing changes</w:t>
      </w:r>
      <w:r>
        <w:rPr>
          <w:rFonts w:ascii="Roboto" w:hAnsi="Roboto" w:eastAsia="Roboto" w:cs="Roboto"/>
        </w:rPr>
      </w:r>
    </w:p>
    <w:p w14:paraId="65A7D6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proposal approval</w:t>
      </w:r>
      <w:r>
        <w:rPr>
          <w:rFonts w:ascii="Roboto" w:hAnsi="Roboto" w:eastAsia="Roboto" w:cs="Roboto"/>
        </w:rPr>
      </w:r>
    </w:p>
    <w:p w14:paraId="3E71A9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contract commitments</w:t>
      </w:r>
      <w:r>
        <w:rPr>
          <w:rFonts w:ascii="Roboto" w:hAnsi="Roboto" w:eastAsia="Roboto" w:cs="Roboto"/>
        </w:rPr>
      </w:r>
    </w:p>
    <w:p w14:paraId="36156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Reason:</w:t>
      </w:r>
      <w:r>
        <w:rPr>
          <w:rFonts w:ascii="Roboto" w:hAnsi="Roboto" w:eastAsia="Roboto" w:cs="Roboto"/>
          <w:color w:val="000000"/>
          <w:sz w:val="24"/>
        </w:rPr>
        <w:t xml:space="preserve"> Customer trust is earned through accountable decisions.</w:t>
      </w:r>
      <w:r>
        <w:rPr>
          <w:rFonts w:ascii="Roboto" w:hAnsi="Roboto" w:eastAsia="Roboto" w:cs="Roboto"/>
        </w:rPr>
      </w:r>
    </w:p>
    <w:p w14:paraId="63608F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Partnerships</w:t>
      </w:r>
      <w:r>
        <w:rPr>
          <w:rFonts w:ascii="Roboto" w:hAnsi="Roboto" w:eastAsia="Roboto" w:cs="Roboto"/>
        </w:rPr>
      </w:r>
    </w:p>
    <w:p w14:paraId="6F4245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responses committing SLS</w:t>
      </w:r>
      <w:r>
        <w:rPr>
          <w:rFonts w:ascii="Roboto" w:hAnsi="Roboto" w:eastAsia="Roboto" w:cs="Roboto"/>
        </w:rPr>
      </w:r>
    </w:p>
    <w:p w14:paraId="3E08AC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partnership approvals</w:t>
      </w:r>
      <w:r>
        <w:rPr>
          <w:rFonts w:ascii="Roboto" w:hAnsi="Roboto" w:eastAsia="Roboto" w:cs="Roboto"/>
        </w:rPr>
      </w:r>
    </w:p>
    <w:p w14:paraId="1EF890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publication of strategic information</w:t>
      </w:r>
      <w:r>
        <w:rPr>
          <w:rFonts w:ascii="Roboto" w:hAnsi="Roboto" w:eastAsia="Roboto" w:cs="Roboto"/>
        </w:rPr>
      </w:r>
    </w:p>
    <w:p w14:paraId="0CD4A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Reason:</w:t>
      </w:r>
      <w:r>
        <w:rPr>
          <w:rFonts w:ascii="Roboto" w:hAnsi="Roboto" w:eastAsia="Roboto" w:cs="Roboto"/>
          <w:color w:val="000000"/>
          <w:sz w:val="24"/>
        </w:rPr>
        <w:t xml:space="preserve"> Relationships require CEO judgment.</w:t>
      </w:r>
      <w:r>
        <w:rPr>
          <w:rFonts w:ascii="Roboto" w:hAnsi="Roboto" w:eastAsia="Roboto" w:cs="Roboto"/>
        </w:rPr>
      </w:r>
    </w:p>
    <w:p w14:paraId="26E3C4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Security</w:t>
      </w:r>
      <w:r>
        <w:rPr>
          <w:rFonts w:ascii="Roboto" w:hAnsi="Roboto" w:eastAsia="Roboto" w:cs="Roboto"/>
        </w:rPr>
      </w:r>
    </w:p>
    <w:p w14:paraId="3042FE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Unsupervised security changes</w:t>
      </w:r>
      <w:r>
        <w:rPr>
          <w:rFonts w:ascii="Roboto" w:hAnsi="Roboto" w:eastAsia="Roboto" w:cs="Roboto"/>
        </w:rPr>
      </w:r>
    </w:p>
    <w:p w14:paraId="1CDB94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permission escalation</w:t>
      </w:r>
      <w:r>
        <w:rPr>
          <w:rFonts w:ascii="Roboto" w:hAnsi="Roboto" w:eastAsia="Roboto" w:cs="Roboto"/>
        </w:rPr>
      </w:r>
    </w:p>
    <w:p w14:paraId="2FC7F8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firewall or identity-policy changes</w:t>
      </w:r>
      <w:r>
        <w:rPr>
          <w:rFonts w:ascii="Roboto" w:hAnsi="Roboto" w:eastAsia="Roboto" w:cs="Roboto"/>
        </w:rPr>
      </w:r>
    </w:p>
    <w:p w14:paraId="30DBC6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secrets rotation without verification</w:t>
      </w:r>
      <w:r>
        <w:rPr>
          <w:rFonts w:ascii="Roboto" w:hAnsi="Roboto" w:eastAsia="Roboto" w:cs="Roboto"/>
        </w:rPr>
      </w:r>
    </w:p>
    <w:p w14:paraId="23F0D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Reason:</w:t>
      </w:r>
      <w:r>
        <w:rPr>
          <w:rFonts w:ascii="Roboto" w:hAnsi="Roboto" w:eastAsia="Roboto" w:cs="Roboto"/>
          <w:color w:val="000000"/>
          <w:sz w:val="24"/>
        </w:rPr>
        <w:t xml:space="preserve"> Security changes can unintentionally weaken the platform.</w:t>
      </w:r>
      <w:r>
        <w:rPr>
          <w:rFonts w:ascii="Roboto" w:hAnsi="Roboto" w:eastAsia="Roboto" w:cs="Roboto"/>
        </w:rPr>
      </w:r>
    </w:p>
    <w:p w14:paraId="509CEF8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AI Agents</w:t>
      </w:r>
      <w:r>
        <w:rPr>
          <w:rFonts w:ascii="Roboto" w:hAnsi="Roboto" w:eastAsia="Roboto" w:cs="Roboto"/>
        </w:rPr>
      </w:r>
    </w:p>
    <w:p w14:paraId="6832DB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Consequential autonomous agent actions</w:t>
      </w:r>
      <w:r>
        <w:rPr>
          <w:rFonts w:ascii="Roboto" w:hAnsi="Roboto" w:eastAsia="Roboto" w:cs="Roboto"/>
        </w:rPr>
      </w:r>
    </w:p>
    <w:p w14:paraId="7FD229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execution of irreversible workflows</w:t>
      </w:r>
      <w:r>
        <w:rPr>
          <w:rFonts w:ascii="Roboto" w:hAnsi="Roboto" w:eastAsia="Roboto" w:cs="Roboto"/>
        </w:rPr>
      </w:r>
    </w:p>
    <w:p w14:paraId="454473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Automatic deletion or archival of important records</w:t>
      </w:r>
      <w:r>
        <w:rPr>
          <w:rFonts w:ascii="Roboto" w:hAnsi="Roboto" w:eastAsia="Roboto" w:cs="Roboto"/>
        </w:rPr>
      </w:r>
    </w:p>
    <w:p w14:paraId="500E5E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❌ Autonomous financial commitments</w:t>
      </w:r>
      <w:r>
        <w:rPr>
          <w:rFonts w:ascii="Roboto" w:hAnsi="Roboto" w:eastAsia="Roboto" w:cs="Roboto"/>
        </w:rPr>
      </w:r>
    </w:p>
    <w:p w14:paraId="1EBC4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Reason:</w:t>
      </w:r>
      <w:r>
        <w:rPr>
          <w:rFonts w:ascii="Roboto" w:hAnsi="Roboto" w:eastAsia="Roboto" w:cs="Roboto"/>
          <w:color w:val="000000"/>
          <w:sz w:val="24"/>
        </w:rPr>
        <w:t xml:space="preserve"> AI should recommend—not own—consequential decisions.</w:t>
      </w:r>
      <w:r>
        <w:rPr>
          <w:rFonts w:ascii="Roboto" w:hAnsi="Roboto" w:eastAsia="Roboto" w:cs="Roboto"/>
        </w:rPr>
      </w:r>
    </w:p>
    <w:p w14:paraId="51C6613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✅ Preferred Automation Model</w:t>
      </w:r>
      <w:r>
        <w:rPr>
          <w:rFonts w:ascii="Roboto" w:hAnsi="Roboto" w:eastAsia="Roboto" w:cs="Roboto"/>
        </w:rPr>
      </w:r>
    </w:p>
    <w:p w14:paraId="3C9A1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automation should follow the same progression:</w:t>
      </w:r>
      <w:r>
        <w:rPr>
          <w:rFonts w:ascii="Roboto" w:hAnsi="Roboto" w:eastAsia="Roboto" w:cs="Roboto"/>
        </w:rPr>
      </w:r>
    </w:p>
    <w:p w14:paraId="1CA8D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Observe</w:t>
      </w:r>
      <w:r>
        <w:rPr>
          <w:rFonts w:ascii="Roboto" w:hAnsi="Roboto" w:eastAsia="Roboto" w:cs="Roboto"/>
        </w:rPr>
      </w:r>
    </w:p>
    <w:p w14:paraId="50058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75BE1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Analyze</w:t>
      </w:r>
      <w:r>
        <w:rPr>
          <w:rFonts w:ascii="Roboto" w:hAnsi="Roboto" w:eastAsia="Roboto" w:cs="Roboto"/>
        </w:rPr>
      </w:r>
    </w:p>
    <w:p w14:paraId="73FFA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4A27F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Recommend</w:t>
      </w:r>
      <w:r>
        <w:rPr>
          <w:rFonts w:ascii="Roboto" w:hAnsi="Roboto" w:eastAsia="Roboto" w:cs="Roboto"/>
        </w:rPr>
      </w:r>
    </w:p>
    <w:p w14:paraId="6EFF2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2EC61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Human Approval</w:t>
      </w:r>
      <w:r>
        <w:rPr>
          <w:rFonts w:ascii="Roboto" w:hAnsi="Roboto" w:eastAsia="Roboto" w:cs="Roboto"/>
        </w:rPr>
      </w:r>
    </w:p>
    <w:p w14:paraId="468A0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38396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Execute</w:t>
      </w:r>
      <w:r>
        <w:rPr>
          <w:rFonts w:ascii="Roboto" w:hAnsi="Roboto" w:eastAsia="Roboto" w:cs="Roboto"/>
        </w:rPr>
      </w:r>
    </w:p>
    <w:p w14:paraId="5FFC5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76038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Verify</w:t>
      </w:r>
      <w:r>
        <w:rPr>
          <w:rFonts w:ascii="Roboto" w:hAnsi="Roboto" w:eastAsia="Roboto" w:cs="Roboto"/>
        </w:rPr>
      </w:r>
    </w:p>
    <w:p w14:paraId="4632D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549D3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Record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99944B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5B643754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41E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2026-07-21T03:54:02Z</dcterms:modified>
</cp:coreProperties>
</file>