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C8131F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Sirius Logic Systems</w:t>
      </w:r>
      <w:r>
        <w:rPr>
          <w:rFonts w:ascii="Roboto" w:hAnsi="Roboto" w:eastAsia="Roboto" w:cs="Roboto"/>
        </w:rPr>
      </w:r>
    </w:p>
    <w:p w14:paraId="3D5F089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SLS-0S1 Infrastructure Opportunity Assessment</w:t>
      </w:r>
      <w:r>
        <w:rPr>
          <w:rFonts w:ascii="Roboto" w:hAnsi="Roboto" w:eastAsia="Roboto" w:cs="Roboto"/>
        </w:rPr>
      </w:r>
    </w:p>
    <w:p w14:paraId="36AA2D9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Turn promising infrastructure opportunities into evidence-based decisions.</w:t>
      </w:r>
      <w:r>
        <w:rPr>
          <w:rFonts w:ascii="Roboto" w:hAnsi="Roboto" w:eastAsia="Roboto" w:cs="Roboto"/>
        </w:rPr>
      </w:r>
    </w:p>
    <w:p w14:paraId="4EFB32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Many organizations pursue opportunities before validating whether they are technically, commercially, or operationally viable.</w:t>
      </w:r>
      <w:r>
        <w:rPr>
          <w:rFonts w:ascii="Roboto" w:hAnsi="Roboto" w:eastAsia="Roboto" w:cs="Roboto"/>
        </w:rPr>
      </w:r>
    </w:p>
    <w:p w14:paraId="4048F6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Sirius Logic Systems Infrastructure Opportunity Assessment applies the S.P.A.T.I.A.L. methodology to evaluate an opportunity using structured evidence, controlled decision gates, and lifecycle governance.</w:t>
      </w:r>
      <w:r>
        <w:rPr>
          <w:rFonts w:ascii="Roboto" w:hAnsi="Roboto" w:eastAsia="Roboto" w:cs="Roboto"/>
        </w:rPr>
      </w:r>
    </w:p>
    <w:p w14:paraId="662E20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highlight w:val="none"/>
        </w:rPr>
      </w:r>
      <w:r>
        <w:rPr>
          <w:rFonts w:ascii="Roboto" w:hAnsi="Roboto" w:eastAsia="Roboto" w:cs="Roboto"/>
          <w:b/>
          <w:color w:val="000000"/>
          <w:sz w:val="24"/>
          <w:highlight w:val="none"/>
        </w:rPr>
      </w:r>
      <w:r>
        <w:rPr>
          <w:rFonts w:ascii="Roboto" w:hAnsi="Roboto" w:eastAsia="Roboto" w:cs="Roboto"/>
          <w:b/>
          <w:color w:val="000000"/>
          <w:sz w:val="24"/>
          <w:highlight w:val="none"/>
        </w:rPr>
      </w:r>
    </w:p>
    <w:p w14:paraId="791671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/>
          <w:color w:val="000000"/>
          <w:sz w:val="28"/>
          <w:szCs w:val="24"/>
        </w:rPr>
        <w:t xml:space="preserve">Ideal </w:t>
      </w:r>
      <w:r>
        <w:rPr>
          <w:rFonts w:ascii="Roboto" w:hAnsi="Roboto" w:eastAsia="Roboto" w:cs="Roboto"/>
          <w:b/>
          <w:color w:val="000000"/>
          <w:sz w:val="24"/>
        </w:rPr>
        <w:t xml:space="preserve">for:</w:t>
      </w:r>
      <w:r>
        <w:rPr>
          <w:rFonts w:ascii="Roboto" w:hAnsi="Roboto" w:eastAsia="Roboto" w:cs="Roboto"/>
        </w:rPr>
      </w:r>
    </w:p>
    <w:p w14:paraId="4059BAD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Electric Utilities</w:t>
      </w:r>
      <w:r>
        <w:rPr>
          <w:rFonts w:ascii="Roboto" w:hAnsi="Roboto" w:eastAsia="Roboto" w:cs="Roboto"/>
        </w:rPr>
      </w:r>
    </w:p>
    <w:p w14:paraId="3C80E87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Infrastructure Owners</w:t>
      </w:r>
      <w:r>
        <w:rPr>
          <w:rFonts w:ascii="Roboto" w:hAnsi="Roboto" w:eastAsia="Roboto" w:cs="Roboto"/>
        </w:rPr>
      </w:r>
    </w:p>
    <w:p w14:paraId="7DBCFE0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Engineering &amp; EPC Firms</w:t>
      </w:r>
      <w:r>
        <w:rPr>
          <w:rFonts w:ascii="Roboto" w:hAnsi="Roboto" w:eastAsia="Roboto" w:cs="Roboto"/>
        </w:rPr>
      </w:r>
    </w:p>
    <w:p w14:paraId="5A5D653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Data Center Developers</w:t>
      </w:r>
      <w:r>
        <w:rPr>
          <w:rFonts w:ascii="Roboto" w:hAnsi="Roboto" w:eastAsia="Roboto" w:cs="Roboto"/>
        </w:rPr>
      </w:r>
    </w:p>
    <w:p w14:paraId="55F229E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Public Agencies</w:t>
      </w:r>
      <w:r>
        <w:rPr>
          <w:rFonts w:ascii="Roboto" w:hAnsi="Roboto" w:eastAsia="Roboto" w:cs="Roboto"/>
        </w:rPr>
      </w:r>
    </w:p>
    <w:p w14:paraId="752A70F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Critical Infrastructure Operators</w:t>
      </w:r>
      <w:r>
        <w:rPr>
          <w:rFonts w:ascii="Roboto" w:hAnsi="Roboto" w:eastAsia="Roboto" w:cs="Roboto"/>
        </w:rPr>
      </w:r>
    </w:p>
    <w:p w14:paraId="45314A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The Outcome</w:t>
      </w:r>
      <w:r>
        <w:rPr>
          <w:rFonts w:ascii="Roboto" w:hAnsi="Roboto" w:eastAsia="Roboto" w:cs="Roboto"/>
        </w:rPr>
      </w:r>
    </w:p>
    <w:p w14:paraId="21AAC4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After completing the Infrastructure Opportunity Assessment, you'll have a structured, evidence-based understanding of whether an opportunity is ready to pursue, what evidence is still missing, the principal risks, and the recommended next steps before comm</w:t>
      </w:r>
      <w:r>
        <w:rPr>
          <w:rFonts w:ascii="Roboto" w:hAnsi="Roboto" w:eastAsia="Roboto" w:cs="Roboto"/>
          <w:color w:val="000000"/>
          <w:sz w:val="24"/>
        </w:rPr>
        <w:t xml:space="preserve">itting significant resources.</w:t>
      </w:r>
      <w:r>
        <w:rPr>
          <w:rFonts w:ascii="Roboto" w:hAnsi="Roboto" w:eastAsia="Roboto" w:cs="Roboto"/>
        </w:rPr>
      </w:r>
    </w:p>
    <w:p w14:paraId="7C3885B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28"/>
          <w:szCs w:val="28"/>
          <w:highlight w:val="none"/>
        </w:rPr>
      </w:pPr>
      <w:r>
        <w:rPr>
          <w:rFonts w:ascii="Roboto" w:hAnsi="Roboto" w:eastAsia="Roboto" w:cs="Roboto"/>
          <w:b/>
          <w:color w:val="000000"/>
          <w:sz w:val="28"/>
          <w:highlight w:val="none"/>
        </w:rPr>
      </w:r>
      <w:r>
        <w:rPr>
          <w:rFonts w:ascii="Roboto" w:hAnsi="Roboto" w:eastAsia="Roboto" w:cs="Roboto"/>
          <w:b/>
          <w:color w:val="000000"/>
          <w:sz w:val="28"/>
          <w:highlight w:val="none"/>
        </w:rPr>
      </w:r>
      <w:r>
        <w:rPr>
          <w:rFonts w:ascii="Roboto" w:hAnsi="Roboto" w:eastAsia="Roboto" w:cs="Roboto"/>
          <w:b/>
          <w:color w:val="000000"/>
          <w:sz w:val="28"/>
          <w:highlight w:val="none"/>
        </w:rPr>
      </w:r>
    </w:p>
    <w:p w14:paraId="12BC4C3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28"/>
          <w:szCs w:val="28"/>
          <w:highlight w:val="none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What You Receive</w:t>
      </w:r>
      <w:r>
        <w:rPr>
          <w:rFonts w:ascii="Roboto" w:hAnsi="Roboto" w:eastAsia="Roboto" w:cs="Roboto"/>
        </w:rPr>
      </w:r>
    </w:p>
    <w:p w14:paraId="3A5ECD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✓ Opportunity Assessment</w:t>
      </w:r>
      <w:r>
        <w:rPr>
          <w:rFonts w:ascii="Roboto" w:hAnsi="Roboto" w:eastAsia="Roboto" w:cs="Roboto"/>
        </w:rPr>
      </w:r>
    </w:p>
    <w:p w14:paraId="0B9BB8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✓ Evidence Review</w:t>
      </w:r>
      <w:r>
        <w:rPr>
          <w:rFonts w:ascii="Roboto" w:hAnsi="Roboto" w:eastAsia="Roboto" w:cs="Roboto"/>
        </w:rPr>
      </w:r>
    </w:p>
    <w:p w14:paraId="6B7A74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✓ Opportunity Score</w:t>
      </w:r>
      <w:r>
        <w:rPr>
          <w:rFonts w:ascii="Roboto" w:hAnsi="Roboto" w:eastAsia="Roboto" w:cs="Roboto"/>
        </w:rPr>
      </w:r>
    </w:p>
    <w:p w14:paraId="5B8160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✓ Evidence Confidence</w:t>
      </w:r>
      <w:r>
        <w:rPr>
          <w:rFonts w:ascii="Roboto" w:hAnsi="Roboto" w:eastAsia="Roboto" w:cs="Roboto"/>
        </w:rPr>
      </w:r>
    </w:p>
    <w:p w14:paraId="6E298F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✓ Gate Analysis</w:t>
      </w:r>
      <w:r>
        <w:rPr>
          <w:rFonts w:ascii="Roboto" w:hAnsi="Roboto" w:eastAsia="Roboto" w:cs="Roboto"/>
        </w:rPr>
      </w:r>
    </w:p>
    <w:p w14:paraId="37B992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✓ Risk &amp; Constraint Summary</w:t>
      </w:r>
      <w:r>
        <w:rPr>
          <w:rFonts w:ascii="Roboto" w:hAnsi="Roboto" w:eastAsia="Roboto" w:cs="Roboto"/>
        </w:rPr>
      </w:r>
    </w:p>
    <w:p w14:paraId="432FF0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✓ Executive Recommendation</w:t>
      </w:r>
      <w:r>
        <w:rPr>
          <w:rFonts w:ascii="Roboto" w:hAnsi="Roboto" w:eastAsia="Roboto" w:cs="Roboto"/>
        </w:rPr>
      </w:r>
    </w:p>
    <w:p w14:paraId="35001A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✓ Next-Step Action Plan</w:t>
      </w:r>
      <w:r>
        <w:rPr>
          <w:rFonts w:ascii="Roboto" w:hAnsi="Roboto" w:eastAsia="Roboto" w:cs="Roboto"/>
        </w:rPr>
      </w:r>
    </w:p>
    <w:p w14:paraId="434432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highlight w:val="none"/>
        </w:rPr>
      </w:pPr>
      <w:r>
        <w:rPr>
          <w:rFonts w:ascii="Roboto" w:hAnsi="Roboto" w:eastAsia="Roboto" w:cs="Roboto"/>
          <w:color w:val="000000"/>
          <w:sz w:val="24"/>
        </w:rPr>
        <w:t xml:space="preserve">✓ Professional Assessment Report</w:t>
      </w:r>
      <w:r>
        <w:rPr>
          <w:rFonts w:ascii="Roboto" w:hAnsi="Roboto" w:eastAsia="Roboto" w:cs="Roboto"/>
        </w:rPr>
      </w:r>
      <w:r>
        <w:rPr>
          <w:rFonts w:ascii="Roboto" w:hAnsi="Roboto" w:eastAsia="Roboto" w:cs="Roboto"/>
          <w:highlight w:val="none"/>
        </w:rPr>
      </w:r>
    </w:p>
    <w:p w14:paraId="6D2E5D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highlight w:val="none"/>
        </w:rPr>
      </w:pP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  <w:highlight w:val="none"/>
        </w:rPr>
      </w:r>
    </w:p>
    <w:p w14:paraId="54FF41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  <w:sz w:val="28"/>
          <w:szCs w:val="28"/>
          <w:highlight w:val="none"/>
        </w:rPr>
      </w:pPr>
      <w:r>
        <w:rPr>
          <w:rFonts w:ascii="Roboto" w:hAnsi="Roboto" w:eastAsia="Roboto" w:cs="Roboto"/>
          <w:b/>
          <w:bCs/>
          <w:sz w:val="28"/>
          <w:szCs w:val="28"/>
          <w:highlight w:val="none"/>
        </w:rPr>
      </w:r>
      <w:r>
        <w:rPr>
          <w:rFonts w:ascii="Roboto" w:hAnsi="Roboto" w:eastAsia="Roboto" w:cs="Roboto"/>
          <w:b/>
          <w:bCs/>
          <w:sz w:val="28"/>
          <w:szCs w:val="28"/>
        </w:rPr>
        <w:t xml:space="preserve">Engagement Timeline</w:t>
      </w:r>
      <w:r>
        <w:rPr>
          <w:rFonts w:ascii="Roboto" w:hAnsi="Roboto" w:eastAsia="Roboto" w:cs="Roboto"/>
          <w:b/>
          <w:bCs/>
          <w:sz w:val="28"/>
          <w:szCs w:val="28"/>
          <w:highlight w:val="none"/>
        </w:rPr>
      </w:r>
      <w:r>
        <w:rPr>
          <w:rFonts w:ascii="Roboto" w:hAnsi="Roboto" w:eastAsia="Roboto" w:cs="Roboto"/>
          <w:b/>
          <w:bCs/>
          <w:sz w:val="28"/>
          <w:szCs w:val="28"/>
          <w:highlight w:val="none"/>
        </w:rPr>
      </w:r>
    </w:p>
    <w:p w14:paraId="541AB0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highlight w:val="none"/>
        </w:rPr>
      </w:pPr>
      <w:r>
        <w:rPr>
          <w:rFonts w:ascii="Roboto" w:hAnsi="Roboto" w:eastAsia="Roboto" w:cs="Roboto"/>
          <w:highlight w:val="none"/>
        </w:rPr>
        <w:t xml:space="preserve">Discovery</w:t>
      </w:r>
      <w:r>
        <w:rPr>
          <w:rFonts w:ascii="Roboto" w:hAnsi="Roboto" w:eastAsia="Roboto" w:cs="Roboto"/>
        </w:rPr>
      </w:r>
    </w:p>
    <w:p w14:paraId="036412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highlight w:val="none"/>
        </w:rPr>
        <w:t xml:space="preserve">      ↓</w:t>
      </w:r>
      <w:r>
        <w:rPr>
          <w:rFonts w:ascii="Roboto" w:hAnsi="Roboto" w:eastAsia="Roboto" w:cs="Roboto"/>
        </w:rPr>
      </w:r>
    </w:p>
    <w:p w14:paraId="7E4279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highlight w:val="none"/>
        </w:rPr>
        <w:t xml:space="preserve">Evidence Collection</w:t>
      </w:r>
      <w:r>
        <w:rPr>
          <w:rFonts w:ascii="Roboto" w:hAnsi="Roboto" w:eastAsia="Roboto" w:cs="Roboto"/>
        </w:rPr>
      </w:r>
    </w:p>
    <w:p w14:paraId="1A9DAC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highlight w:val="none"/>
        </w:rPr>
        <w:t xml:space="preserve">      ↓</w:t>
      </w:r>
      <w:r>
        <w:rPr>
          <w:rFonts w:ascii="Roboto" w:hAnsi="Roboto" w:eastAsia="Roboto" w:cs="Roboto"/>
        </w:rPr>
      </w:r>
    </w:p>
    <w:p w14:paraId="184DAE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highlight w:val="none"/>
        </w:rPr>
        <w:t xml:space="preserve">S.P.A.T.I.A.L. Assessment</w:t>
      </w:r>
      <w:r>
        <w:rPr>
          <w:rFonts w:ascii="Roboto" w:hAnsi="Roboto" w:eastAsia="Roboto" w:cs="Roboto"/>
        </w:rPr>
      </w:r>
    </w:p>
    <w:p w14:paraId="33FD50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highlight w:val="none"/>
        </w:rPr>
        <w:t xml:space="preserve">      ↓</w:t>
      </w:r>
      <w:r>
        <w:rPr>
          <w:rFonts w:ascii="Roboto" w:hAnsi="Roboto" w:eastAsia="Roboto" w:cs="Roboto"/>
        </w:rPr>
      </w:r>
    </w:p>
    <w:p w14:paraId="6B5700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highlight w:val="none"/>
        </w:rPr>
        <w:t xml:space="preserve">Executive Report</w:t>
      </w:r>
      <w:r>
        <w:rPr>
          <w:rFonts w:ascii="Roboto" w:hAnsi="Roboto" w:eastAsia="Roboto" w:cs="Roboto"/>
        </w:rPr>
      </w:r>
    </w:p>
    <w:p w14:paraId="734707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highlight w:val="none"/>
        </w:rPr>
        <w:t xml:space="preserve">      ↓</w:t>
      </w:r>
      <w:r>
        <w:rPr>
          <w:rFonts w:ascii="Roboto" w:hAnsi="Roboto" w:eastAsia="Roboto" w:cs="Roboto"/>
        </w:rPr>
      </w:r>
    </w:p>
    <w:p w14:paraId="6F10AC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highlight w:val="none"/>
        </w:rPr>
      </w:pPr>
      <w:r>
        <w:rPr>
          <w:rFonts w:ascii="Roboto" w:hAnsi="Roboto" w:eastAsia="Roboto" w:cs="Roboto"/>
          <w:highlight w:val="none"/>
        </w:rPr>
        <w:t xml:space="preserve">Recommendations</w:t>
      </w:r>
      <w:r>
        <w:rPr>
          <w:rFonts w:ascii="Roboto" w:hAnsi="Roboto" w:eastAsia="Roboto" w:cs="Roboto"/>
          <w:highlight w:val="none"/>
        </w:rPr>
      </w:r>
      <w:r>
        <w:rPr>
          <w:rFonts w:ascii="Roboto" w:hAnsi="Roboto" w:cs="Roboto"/>
          <w:sz w:val="24"/>
          <w:szCs w:val="24"/>
        </w:rPr>
      </w:r>
    </w:p>
    <w:p w14:paraId="3AD448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  <w:highlight w:val="none"/>
        </w:rPr>
      </w:r>
    </w:p>
    <w:p w14:paraId="4ED3CA7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Typical Questions We Help Answer</w:t>
      </w:r>
      <w:r>
        <w:rPr>
          <w:rFonts w:ascii="Roboto" w:hAnsi="Roboto" w:eastAsia="Roboto" w:cs="Roboto"/>
        </w:rPr>
      </w:r>
    </w:p>
    <w:p w14:paraId="0F200D0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Is this opportunity worth pursuing?</w:t>
      </w:r>
      <w:r>
        <w:rPr>
          <w:rFonts w:ascii="Roboto" w:hAnsi="Roboto" w:eastAsia="Roboto" w:cs="Roboto"/>
        </w:rPr>
      </w:r>
    </w:p>
    <w:p w14:paraId="34D5F5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What evidence is still missing?</w:t>
      </w:r>
      <w:r>
        <w:rPr>
          <w:rFonts w:ascii="Roboto" w:hAnsi="Roboto" w:eastAsia="Roboto" w:cs="Roboto"/>
        </w:rPr>
      </w:r>
    </w:p>
    <w:p w14:paraId="5AFA72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What are the biggest risks?</w:t>
      </w:r>
      <w:r>
        <w:rPr>
          <w:rFonts w:ascii="Roboto" w:hAnsi="Roboto" w:eastAsia="Roboto" w:cs="Roboto"/>
        </w:rPr>
      </w:r>
    </w:p>
    <w:p w14:paraId="6029BE1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Is there a credible funding or procurement path?</w:t>
      </w:r>
      <w:r>
        <w:rPr>
          <w:rFonts w:ascii="Roboto" w:hAnsi="Roboto" w:eastAsia="Roboto" w:cs="Roboto"/>
        </w:rPr>
      </w:r>
    </w:p>
    <w:p w14:paraId="495BBE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What should we do next?</w:t>
      </w:r>
      <w:r>
        <w:rPr>
          <w:rFonts w:ascii="Roboto" w:hAnsi="Roboto" w:cs="Roboto"/>
          <w:sz w:val="24"/>
        </w:rPr>
      </w:r>
    </w:p>
    <w:p w14:paraId="4C8824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</w:r>
    </w:p>
    <w:p w14:paraId="2C8ED60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Deliverables</w:t>
      </w:r>
      <w:r>
        <w:rPr>
          <w:rFonts w:ascii="Roboto" w:hAnsi="Roboto" w:eastAsia="Roboto" w:cs="Roboto"/>
        </w:rPr>
      </w:r>
    </w:p>
    <w:p w14:paraId="1238E6E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Executive Summary</w:t>
      </w:r>
      <w:r>
        <w:rPr>
          <w:rFonts w:ascii="Roboto" w:hAnsi="Roboto" w:eastAsia="Roboto" w:cs="Roboto"/>
        </w:rPr>
      </w:r>
    </w:p>
    <w:p w14:paraId="2675AB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Detailed Assessment Report</w:t>
      </w:r>
      <w:r>
        <w:rPr>
          <w:rFonts w:ascii="Roboto" w:hAnsi="Roboto" w:eastAsia="Roboto" w:cs="Roboto"/>
        </w:rPr>
      </w:r>
    </w:p>
    <w:p w14:paraId="76FE2E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 Register</w:t>
      </w:r>
      <w:r>
        <w:rPr>
          <w:rFonts w:ascii="Roboto" w:hAnsi="Roboto" w:eastAsia="Roboto" w:cs="Roboto"/>
        </w:rPr>
      </w:r>
    </w:p>
    <w:p w14:paraId="24816EE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Decision Rationale</w:t>
      </w:r>
      <w:r>
        <w:rPr>
          <w:rFonts w:ascii="Roboto" w:hAnsi="Roboto" w:eastAsia="Roboto" w:cs="Roboto"/>
        </w:rPr>
      </w:r>
    </w:p>
    <w:p w14:paraId="51A720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Lifecycle Review Schedule</w:t>
      </w:r>
      <w:r>
        <w:rPr>
          <w:rFonts w:ascii="Roboto" w:hAnsi="Roboto" w:cs="Roboto"/>
          <w:sz w:val="24"/>
        </w:rPr>
      </w:r>
    </w:p>
    <w:p w14:paraId="27A09A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</w:r>
    </w:p>
    <w:p w14:paraId="739C480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Why Sirius Logic Systems?</w:t>
      </w:r>
      <w:r>
        <w:rPr>
          <w:rFonts w:ascii="Roboto" w:hAnsi="Roboto" w:eastAsia="Roboto" w:cs="Roboto"/>
        </w:rPr>
      </w:r>
    </w:p>
    <w:p w14:paraId="4C36C7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Our assessments are built on the </w:t>
      </w:r>
      <w:r>
        <w:rPr>
          <w:rFonts w:ascii="Roboto" w:hAnsi="Roboto" w:eastAsia="Roboto" w:cs="Roboto"/>
          <w:b/>
          <w:bCs/>
          <w:color w:val="000000"/>
          <w:sz w:val="24"/>
        </w:rPr>
        <w:t xml:space="preserve">S.P.A.T.I.A.L.</w:t>
      </w:r>
      <w:r>
        <w:rPr>
          <w:rFonts w:ascii="Roboto" w:hAnsi="Roboto" w:eastAsia="Roboto" w:cs="Roboto"/>
          <w:color w:val="000000"/>
          <w:sz w:val="24"/>
        </w:rPr>
        <w:t xml:space="preserve"> Opportunity Intelligence methodology and supported by a repeatable assessment engine designed to produce transparent, evidence-based recommendations—not intuition alone.</w:t>
      </w:r>
      <w:r>
        <w:rPr>
          <w:rFonts w:ascii="Roboto" w:hAnsi="Roboto" w:eastAsia="Roboto" w:cs="Roboto"/>
        </w:rPr>
      </w:r>
    </w:p>
    <w:p w14:paraId="2495BB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36"/>
          <w:szCs w:val="36"/>
        </w:rPr>
      </w:pPr>
      <w:r>
        <w:rPr>
          <w:rFonts w:ascii="Roboto" w:hAnsi="Roboto" w:eastAsia="Roboto" w:cs="Roboto"/>
          <w:b/>
          <w:color w:val="000000"/>
          <w:sz w:val="36"/>
          <w:szCs w:val="36"/>
          <w:highlight w:val="none"/>
        </w:rPr>
      </w:r>
      <w:r>
        <w:rPr>
          <w:rFonts w:ascii="Roboto" w:hAnsi="Roboto" w:eastAsia="Roboto" w:cs="Roboto"/>
          <w:sz w:val="24"/>
          <w:szCs w:val="24"/>
        </w:rPr>
        <w:t xml:space="preserve">Every assessment includes a documented decision rationale, supporting evidence references, lifecycle recommendations, and a clear explanation of why the opportunity received its recommendation.</w:t>
      </w:r>
      <w:r>
        <w:rPr>
          <w:rFonts w:ascii="Roboto" w:hAnsi="Roboto" w:eastAsia="Roboto" w:cs="Roboto"/>
          <w:b/>
          <w:color w:val="000000"/>
          <w:sz w:val="36"/>
          <w:szCs w:val="36"/>
          <w:highlight w:val="none"/>
        </w:rPr>
      </w:r>
      <w:r>
        <w:rPr>
          <w:rFonts w:ascii="Roboto" w:hAnsi="Roboto" w:eastAsia="Roboto" w:cs="Roboto"/>
          <w:b/>
          <w:color w:val="000000"/>
          <w:sz w:val="36"/>
          <w:szCs w:val="36"/>
          <w:highlight w:val="none"/>
        </w:rPr>
      </w:r>
    </w:p>
    <w:p w14:paraId="519C7E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8"/>
          <w:szCs w:val="24"/>
        </w:rPr>
      </w:pPr>
      <w:r>
        <w:rPr>
          <w:rFonts w:ascii="Roboto" w:hAnsi="Roboto" w:eastAsia="Roboto" w:cs="Roboto"/>
          <w:b/>
          <w:color w:val="000000"/>
          <w:sz w:val="28"/>
          <w:szCs w:val="24"/>
        </w:rPr>
        <w:t xml:space="preserve">Ready to evaluate your next infrastructure opportunity?</w:t>
      </w:r>
      <w:r>
        <w:rPr>
          <w:rFonts w:ascii="Roboto" w:hAnsi="Roboto" w:eastAsia="Roboto" w:cs="Roboto"/>
          <w:sz w:val="24"/>
          <w:szCs w:val="24"/>
        </w:rPr>
      </w:r>
    </w:p>
    <w:p w14:paraId="789388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Sirius Logic Systems provides structured, evidence-based opportunity assessments that help organizations decide where to invest their time, resources, and capital.</w:t>
      </w:r>
      <w:r>
        <w:rPr>
          <w:rFonts w:ascii="Roboto" w:hAnsi="Roboto" w:eastAsia="Roboto" w:cs="Roboto"/>
        </w:rPr>
      </w:r>
    </w:p>
    <w:p>
      <w:pPr>
        <w:pBdr/>
        <w:spacing/>
        <w:ind/>
        <w:rPr/>
      </w:pPr>
      <w:r/>
      <w:r/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/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AE5FD69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jc w:val="center"/>
      <w:rPr>
        <w:rFonts w:ascii="Roboto" w:hAnsi="Roboto" w:eastAsia="Roboto" w:cs="Roboto"/>
        <w:b/>
        <w:bCs/>
        <w:color w:val="000000"/>
        <w:sz w:val="32"/>
        <w:szCs w:val="32"/>
        <w:highlight w:val="none"/>
      </w:rPr>
    </w:pPr>
    <w:r>
      <w:rPr>
        <w:rFonts w:ascii="Roboto" w:hAnsi="Roboto" w:eastAsia="Roboto" w:cs="Roboto"/>
        <w:b/>
        <w:color w:val="000000"/>
        <w:sz w:val="32"/>
        <w:szCs w:val="32"/>
        <w:highlight w:val="none"/>
      </w:rPr>
    </w:r>
    <w:r>
      <w:rPr>
        <w:rFonts w:ascii="Roboto" w:hAnsi="Roboto" w:eastAsia="Roboto" w:cs="Roboto"/>
        <w:b/>
        <w:color w:val="000000"/>
        <w:sz w:val="32"/>
        <w:szCs w:val="32"/>
        <w:highlight w:val="none"/>
      </w:rPr>
    </w:r>
    <w:r>
      <w:rPr>
        <w:rFonts w:ascii="Roboto" w:hAnsi="Roboto" w:eastAsia="Roboto" w:cs="Roboto"/>
        <w:b/>
        <w:color w:val="000000"/>
        <w:sz w:val="32"/>
        <w:szCs w:val="32"/>
        <w:highlight w:val="none"/>
      </w:rPr>
    </w:r>
  </w:p>
  <w:p w14:paraId="417F415C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jc w:val="center"/>
      <w:rPr>
        <w:rFonts w:ascii="Roboto" w:hAnsi="Roboto" w:eastAsia="Roboto" w:cs="Roboto"/>
        <w:b/>
        <w:bCs/>
        <w:color w:val="000000"/>
        <w:sz w:val="32"/>
        <w:szCs w:val="32"/>
        <w:highlight w:val="none"/>
      </w:rPr>
    </w:pPr>
    <w:r>
      <w:rPr>
        <w:rFonts w:ascii="Roboto" w:hAnsi="Roboto" w:eastAsia="Roboto" w:cs="Roboto"/>
        <w:b/>
        <w:color w:val="000000"/>
        <w:sz w:val="32"/>
        <w:szCs w:val="32"/>
      </w:rPr>
      <w:t xml:space="preserve">Sirius Logic Systems</w:t>
    </w:r>
    <w:r>
      <w:rPr>
        <w:rFonts w:ascii="Roboto" w:hAnsi="Roboto" w:eastAsia="Roboto" w:cs="Roboto"/>
        <w:b/>
        <w:bCs/>
        <w:color w:val="000000"/>
        <w:sz w:val="32"/>
        <w:szCs w:val="32"/>
        <w:highlight w:val="none"/>
      </w:rPr>
    </w:r>
    <w:r>
      <w:rPr>
        <w:rFonts w:ascii="Roboto" w:hAnsi="Roboto" w:eastAsia="Roboto" w:cs="Roboto"/>
        <w:b/>
        <w:bCs/>
        <w:color w:val="000000"/>
        <w:sz w:val="32"/>
        <w:szCs w:val="32"/>
        <w:highlight w:val="none"/>
      </w:rPr>
    </w:r>
  </w:p>
  <w:p w14:paraId="4FCA8854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jc w:val="center"/>
      <w:rPr>
        <w:rFonts w:ascii="Roboto" w:hAnsi="Roboto" w:cs="Roboto"/>
        <w:color w:val="4472c4" w:themeColor="accent5"/>
        <w:sz w:val="28"/>
        <w:szCs w:val="28"/>
      </w:rPr>
    </w:pPr>
    <w:r>
      <w:rPr>
        <w:rFonts w:ascii="Roboto" w:hAnsi="Roboto" w:eastAsia="Roboto" w:cs="Roboto"/>
        <w:i/>
        <w:color w:val="4472c4" w:themeColor="accent5"/>
        <w:sz w:val="28"/>
        <w:szCs w:val="28"/>
      </w:rPr>
      <w:t xml:space="preserve">Evidence Before Investment.</w:t>
    </w:r>
    <w:r>
      <w:rPr>
        <w:rFonts w:ascii="Roboto" w:hAnsi="Roboto" w:cs="Roboto"/>
        <w:color w:val="4472c4" w:themeColor="accent5"/>
        <w:sz w:val="28"/>
        <w:szCs w:val="28"/>
      </w:rPr>
    </w:r>
    <w:r>
      <w:rPr>
        <w:rFonts w:ascii="Roboto" w:hAnsi="Roboto" w:cs="Roboto"/>
        <w:color w:val="4472c4" w:themeColor="accent5"/>
        <w:sz w:val="28"/>
        <w:szCs w:val="28"/>
      </w:rPr>
    </w:r>
  </w:p>
  <w:p w14:paraId="5D99A277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4BFCD671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82AF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61ECAF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2026-07-18T20:22:33Z</dcterms:modified>
</cp:coreProperties>
</file>