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AIN-101</w:t>
        <w:br/>
        <w:t>Commercial Intelligence Registry Service</w:t>
      </w:r>
    </w:p>
    <w:p>
      <w:pPr>
        <w:jc w:val="center"/>
      </w:pPr>
      <w:r>
        <w:rPr>
          <w:b/>
        </w:rPr>
        <w:t>AnchorInsight™ | Version 1.0 | Implementation Candidate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Document ID</w:t>
            </w:r>
          </w:p>
        </w:tc>
        <w:tc>
          <w:tcPr>
            <w:tcW w:type="dxa" w:w="5040"/>
          </w:tcPr>
          <w:p>
            <w:r>
              <w:t>AIN-101</w:t>
            </w:r>
          </w:p>
        </w:tc>
      </w:tr>
      <w:tr>
        <w:tc>
          <w:tcPr>
            <w:tcW w:type="dxa" w:w="5040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AnchorInsight™</w:t>
            </w:r>
          </w:p>
        </w:tc>
      </w:tr>
      <w:tr>
        <w:tc>
          <w:tcPr>
            <w:tcW w:type="dxa" w:w="5040"/>
          </w:tcPr>
          <w:p>
            <w:r>
              <w:t>Platform</w:t>
            </w:r>
          </w:p>
        </w:tc>
        <w:tc>
          <w:tcPr>
            <w:tcW w:type="dxa" w:w="5040"/>
          </w:tcPr>
          <w:p>
            <w:r>
              <w:t>AnchorOS</w:t>
            </w:r>
          </w:p>
        </w:tc>
      </w:tr>
      <w:tr>
        <w:tc>
          <w:tcPr>
            <w:tcW w:type="dxa" w:w="5040"/>
          </w:tcPr>
          <w:p>
            <w:r>
              <w:t>Persistence</w:t>
            </w:r>
          </w:p>
        </w:tc>
        <w:tc>
          <w:tcPr>
            <w:tcW w:type="dxa" w:w="5040"/>
          </w:tcPr>
          <w:p>
            <w:r>
              <w:t>CIR-002 SQLite Registry</w:t>
            </w:r>
          </w:p>
        </w:tc>
      </w:tr>
      <w:tr>
        <w:tc>
          <w:tcPr>
            <w:tcW w:type="dxa" w:w="5040"/>
          </w:tcPr>
          <w:p>
            <w:r>
              <w:t>Governance</w:t>
            </w:r>
          </w:p>
        </w:tc>
        <w:tc>
          <w:tcPr>
            <w:tcW w:type="dxa" w:w="5040"/>
          </w:tcPr>
          <w:p>
            <w:r>
              <w:t>Commercial Operating Framework</w:t>
            </w:r>
          </w:p>
        </w:tc>
      </w:tr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Implementation Candidate</w:t>
            </w:r>
          </w:p>
        </w:tc>
      </w:tr>
    </w:tbl>
    <w:p>
      <w:pPr>
        <w:pStyle w:val="Heading1"/>
      </w:pPr>
      <w:r>
        <w:t>1. Purpose</w:t>
      </w:r>
    </w:p>
    <w:p>
      <w:r>
        <w:t>AIN-101 defines and implements the controlled application-service boundary between AnchorInsight user interfaces, APIs, automation workflows, and the CIR-002 persistence layer. It prevents presentation code from bypassing validation, lifecycle rules, evidence attribution, COF identity, and audit history.</w:t>
      </w:r>
    </w:p>
    <w:p>
      <w:pPr>
        <w:pStyle w:val="Heading1"/>
      </w:pPr>
      <w:r>
        <w:t>2. Core Contract</w:t>
      </w:r>
    </w:p>
    <w:p>
      <w:pPr>
        <w:pStyle w:val="ListBullet"/>
      </w:pPr>
      <w:r>
        <w:t>Websites and APIs SHALL call the Registry Service rather than execute unmanaged SQL.</w:t>
      </w:r>
    </w:p>
    <w:p>
      <w:pPr>
        <w:pStyle w:val="ListBullet"/>
      </w:pPr>
      <w:r>
        <w:t>Every write SHALL be validated before persistence.</w:t>
      </w:r>
    </w:p>
    <w:p>
      <w:pPr>
        <w:pStyle w:val="ListBullet"/>
      </w:pPr>
      <w:r>
        <w:t>Every material write SHALL preserve actor, reason, subject, and before/after state in the domain audit log.</w:t>
      </w:r>
    </w:p>
    <w:p>
      <w:pPr>
        <w:pStyle w:val="ListBullet"/>
      </w:pPr>
      <w:r>
        <w:t>Evidence SHALL remain attributable to a Source.</w:t>
      </w:r>
    </w:p>
    <w:p>
      <w:pPr>
        <w:pStyle w:val="ListBullet"/>
      </w:pPr>
      <w:r>
        <w:t>AI-created information SHALL not be treated as authoritative evidence without preserved provenance and human review.</w:t>
      </w:r>
    </w:p>
    <w:p>
      <w:pPr>
        <w:pStyle w:val="ListBullet"/>
      </w:pPr>
      <w:r>
        <w:t>COF IDs SHALL remain stable across imports, exports, reports, and API responses.</w:t>
      </w:r>
    </w:p>
    <w:p>
      <w:pPr>
        <w:pStyle w:val="Heading1"/>
      </w:pPr>
      <w:r>
        <w:t>3. Service Capabilities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Capability</w:t>
            </w:r>
          </w:p>
        </w:tc>
        <w:tc>
          <w:tcPr>
            <w:tcW w:type="dxa" w:w="5040"/>
          </w:tcPr>
          <w:p>
            <w:r>
              <w:t>Responsibility</w:t>
            </w:r>
          </w:p>
        </w:tc>
      </w:tr>
      <w:tr>
        <w:tc>
          <w:tcPr>
            <w:tcW w:type="dxa" w:w="5040"/>
          </w:tcPr>
          <w:p>
            <w:r>
              <w:t>Market operations</w:t>
            </w:r>
          </w:p>
        </w:tc>
        <w:tc>
          <w:tcPr>
            <w:tcW w:type="dxa" w:w="5040"/>
          </w:tcPr>
          <w:p>
            <w:r>
              <w:t>Create, retrieve, and list markets with controlled lifecycle states.</w:t>
            </w:r>
          </w:p>
        </w:tc>
      </w:tr>
      <w:tr>
        <w:tc>
          <w:tcPr>
            <w:tcW w:type="dxa" w:w="5040"/>
          </w:tcPr>
          <w:p>
            <w:r>
              <w:t>Organization operations</w:t>
            </w:r>
          </w:p>
        </w:tc>
        <w:tc>
          <w:tcPr>
            <w:tcW w:type="dxa" w:w="5040"/>
          </w:tcPr>
          <w:p>
            <w:r>
              <w:t>Create, retrieve, search, filter, and reconstruct organizations by COF ID.</w:t>
            </w:r>
          </w:p>
        </w:tc>
      </w:tr>
      <w:tr>
        <w:tc>
          <w:tcPr>
            <w:tcW w:type="dxa" w:w="5040"/>
          </w:tcPr>
          <w:p>
            <w:r>
              <w:t>Membership operations</w:t>
            </w:r>
          </w:p>
        </w:tc>
        <w:tc>
          <w:tcPr>
            <w:tcW w:type="dxa" w:w="5040"/>
          </w:tcPr>
          <w:p>
            <w:r>
              <w:t>Link one organization to multiple markets.</w:t>
            </w:r>
          </w:p>
        </w:tc>
      </w:tr>
      <w:tr>
        <w:tc>
          <w:tcPr>
            <w:tcW w:type="dxa" w:w="5040"/>
          </w:tcPr>
          <w:p>
            <w:r>
              <w:t>Source and evidence</w:t>
            </w:r>
          </w:p>
        </w:tc>
        <w:tc>
          <w:tcPr>
            <w:tcW w:type="dxa" w:w="5040"/>
          </w:tcPr>
          <w:p>
            <w:r>
              <w:t>Capture attributable Sources, classify Evidence, and link it to a subject.</w:t>
            </w:r>
          </w:p>
        </w:tc>
      </w:tr>
      <w:tr>
        <w:tc>
          <w:tcPr>
            <w:tcW w:type="dxa" w:w="5040"/>
          </w:tcPr>
          <w:p>
            <w:r>
              <w:t>Scorecards</w:t>
            </w:r>
          </w:p>
        </w:tc>
        <w:tc>
          <w:tcPr>
            <w:tcW w:type="dxa" w:w="5040"/>
          </w:tcPr>
          <w:p>
            <w:r>
              <w:t>Create validated immutable scorecards and link supporting Evidence.</w:t>
            </w:r>
          </w:p>
        </w:tc>
      </w:tr>
      <w:tr>
        <w:tc>
          <w:tcPr>
            <w:tcW w:type="dxa" w:w="5040"/>
          </w:tcPr>
          <w:p>
            <w:r>
              <w:t>Actions</w:t>
            </w:r>
          </w:p>
        </w:tc>
        <w:tc>
          <w:tcPr>
            <w:tcW w:type="dxa" w:w="5040"/>
          </w:tcPr>
          <w:p>
            <w:r>
              <w:t>Create prioritized next actions against governed subjects.</w:t>
            </w:r>
          </w:p>
        </w:tc>
      </w:tr>
      <w:tr>
        <w:tc>
          <w:tcPr>
            <w:tcW w:type="dxa" w:w="5040"/>
          </w:tcPr>
          <w:p>
            <w:r>
              <w:t>Organization profile</w:t>
            </w:r>
          </w:p>
        </w:tc>
        <w:tc>
          <w:tcPr>
            <w:tcW w:type="dxa" w:w="5040"/>
          </w:tcPr>
          <w:p>
            <w:r>
              <w:t>Assemble markets, contacts, opportunities, scorecards, evidence, assumptions, risks, actions, and lifecycle history.</w:t>
            </w:r>
          </w:p>
        </w:tc>
      </w:tr>
      <w:tr>
        <w:tc>
          <w:tcPr>
            <w:tcW w:type="dxa" w:w="5040"/>
          </w:tcPr>
          <w:p>
            <w:r>
              <w:t>Audit</w:t>
            </w:r>
          </w:p>
        </w:tc>
        <w:tc>
          <w:tcPr>
            <w:tcW w:type="dxa" w:w="5040"/>
          </w:tcPr>
          <w:p>
            <w:r>
              <w:t>Record domain-level write history.</w:t>
            </w:r>
          </w:p>
        </w:tc>
      </w:tr>
      <w:tr>
        <w:tc>
          <w:tcPr>
            <w:tcW w:type="dxa" w:w="5040"/>
          </w:tcPr>
          <w:p>
            <w:r>
              <w:t>Health</w:t>
            </w:r>
          </w:p>
        </w:tc>
        <w:tc>
          <w:tcPr>
            <w:tcW w:type="dxa" w:w="5040"/>
          </w:tcPr>
          <w:p>
            <w:r>
              <w:t>Expose service and CIR-002 database health.</w:t>
            </w:r>
          </w:p>
        </w:tc>
      </w:tr>
    </w:tbl>
    <w:p>
      <w:pPr>
        <w:pStyle w:val="Heading1"/>
      </w:pPr>
      <w:r>
        <w:t>4. Application Flow</w:t>
      </w:r>
    </w:p>
    <w:p>
      <w:r>
        <w:t>Browser or Client → Flask/API Adapter → AIN-101 Registry Service → CIR-002 Registry Database → Structured Response</w:t>
      </w:r>
    </w:p>
    <w:p>
      <w:r>
        <w:t>AOS-180 may consume JSON-safe Registry Service responses for governed CSV, JSON, or XLSX export. Import adapters SHALL submit validated commands through AIN-101 rather than insert records directly.</w:t>
      </w:r>
    </w:p>
    <w:p>
      <w:pPr>
        <w:pStyle w:val="Heading1"/>
      </w:pPr>
      <w:r>
        <w:t>5. Validation Boundary</w:t>
      </w:r>
    </w:p>
    <w:p>
      <w:pPr>
        <w:pStyle w:val="ListBullet"/>
      </w:pPr>
      <w:r>
        <w:t>Required text fields cannot be blank.</w:t>
      </w:r>
    </w:p>
    <w:p>
      <w:pPr>
        <w:pStyle w:val="ListBullet"/>
      </w:pPr>
      <w:r>
        <w:t>Lifecycle states, COF statuses, priorities, and evidence classifications use controlled vocabularies.</w:t>
      </w:r>
    </w:p>
    <w:p>
      <w:pPr>
        <w:pStyle w:val="ListBullet"/>
      </w:pPr>
      <w:r>
        <w:t>Score totals cannot exceed declared maxima.</w:t>
      </w:r>
    </w:p>
    <w:p>
      <w:pPr>
        <w:pStyle w:val="ListBullet"/>
      </w:pPr>
      <w:r>
        <w:t>Evidence confidence must remain between 0 and 1.</w:t>
      </w:r>
    </w:p>
    <w:p>
      <w:pPr>
        <w:pStyle w:val="ListBullet"/>
      </w:pPr>
      <w:r>
        <w:t>Duplicate COF IDs and duplicate market membership return domain Conflict errors.</w:t>
      </w:r>
    </w:p>
    <w:p>
      <w:pPr>
        <w:pStyle w:val="ListBullet"/>
      </w:pPr>
      <w:r>
        <w:t>Missing subjects return domain NotFound errors.</w:t>
      </w:r>
    </w:p>
    <w:p>
      <w:pPr>
        <w:pStyle w:val="ListBullet"/>
      </w:pPr>
      <w:r>
        <w:t>Invalid commands return domain Validation errors rather than raw database exceptions.</w:t>
      </w:r>
    </w:p>
    <w:p>
      <w:pPr>
        <w:pStyle w:val="Heading1"/>
      </w:pPr>
      <w:r>
        <w:t>6. One-Page Organization Profile</w:t>
      </w:r>
    </w:p>
    <w:p>
      <w:r>
        <w:t>The service SHALL reconstruct a complete organization profile from linked records. The MVP profile contains the organization, market memberships, contacts, opportunities, scorecard history, evidence and Sources, assumptions, risks, open actions, lifecycle events, and a summary of current scores and record counts.</w:t>
      </w:r>
    </w:p>
    <w:p>
      <w:pPr>
        <w:pStyle w:val="Heading1"/>
      </w:pPr>
      <w:r>
        <w:t>7. CPS Energy Proof Case</w:t>
      </w:r>
    </w:p>
    <w:p>
      <w:r>
        <w:t>The included demonstration registers COF-MKT-2026-001, registers CPS Energy as COF-ORG-2026-001, links it to the utility market, captures an attributable public Source and Evidence item, creates a 92% Organization Strategic Fit scorecard, creates a High-priority Action, and reconstructs the one-page organization profile.</w:t>
      </w:r>
    </w:p>
    <w:p>
      <w:pPr>
        <w:pStyle w:val="Heading1"/>
      </w:pPr>
      <w:r>
        <w:t>8. Verification Requirements</w:t>
      </w:r>
    </w:p>
    <w:p>
      <w:pPr>
        <w:pStyle w:val="ListBullet"/>
      </w:pPr>
      <w:r>
        <w:t>AIN-101-V01 — Service and database health report HEALTHY.</w:t>
      </w:r>
    </w:p>
    <w:p>
      <w:pPr>
        <w:pStyle w:val="ListBullet"/>
      </w:pPr>
      <w:r>
        <w:t>AIN-101-V02 — Organizations are retrieved by COF ID.</w:t>
      </w:r>
    </w:p>
    <w:p>
      <w:pPr>
        <w:pStyle w:val="ListBullet"/>
      </w:pPr>
      <w:r>
        <w:t>AIN-101-V03 — Duplicate identities become clean domain conflicts.</w:t>
      </w:r>
    </w:p>
    <w:p>
      <w:pPr>
        <w:pStyle w:val="ListBullet"/>
      </w:pPr>
      <w:r>
        <w:t>AIN-101-V04 — Invalid commands are rejected before persistence.</w:t>
      </w:r>
    </w:p>
    <w:p>
      <w:pPr>
        <w:pStyle w:val="ListBullet"/>
      </w:pPr>
      <w:r>
        <w:t>AIN-101-V05 — Missing records become clean domain not-found errors.</w:t>
      </w:r>
    </w:p>
    <w:p>
      <w:pPr>
        <w:pStyle w:val="ListBullet"/>
      </w:pPr>
      <w:r>
        <w:t>AIN-101-V06 — Organizations can be filtered by market and searched by name.</w:t>
      </w:r>
    </w:p>
    <w:p>
      <w:pPr>
        <w:pStyle w:val="ListBullet"/>
      </w:pPr>
      <w:r>
        <w:t>AIN-101-V07 — Evidence is attributable and linked to the correct organization.</w:t>
      </w:r>
    </w:p>
    <w:p>
      <w:pPr>
        <w:pStyle w:val="ListBullet"/>
      </w:pPr>
      <w:r>
        <w:t>AIN-101-V08 — Scorecards and actions appear in the one-page profile.</w:t>
      </w:r>
    </w:p>
    <w:p>
      <w:pPr>
        <w:pStyle w:val="ListBullet"/>
      </w:pPr>
      <w:r>
        <w:t>AIN-101-V09 — Invalid score totals are rejected.</w:t>
      </w:r>
    </w:p>
    <w:p>
      <w:pPr>
        <w:pStyle w:val="ListBullet"/>
      </w:pPr>
      <w:r>
        <w:t>AIN-101-V10 — Material writes create domain audit records.</w:t>
      </w:r>
    </w:p>
    <w:p>
      <w:pPr>
        <w:pStyle w:val="ListBullet"/>
      </w:pPr>
      <w:r>
        <w:t>AIN-101-V11 — The profile export is JSON-safe.</w:t>
      </w:r>
    </w:p>
    <w:p>
      <w:pPr>
        <w:pStyle w:val="Heading1"/>
      </w:pPr>
      <w:r>
        <w:t>9. Scope Boundary</w:t>
      </w:r>
    </w:p>
    <w:p>
      <w:r>
        <w:t>AIN-101 does not define the web routes, HTML templates, authentication, role-based authorization, AI collection, scoring formulas, file-format conversion, or Docker deployment. Those capabilities remain separate so the service can be tested and reused.</w:t>
      </w:r>
    </w:p>
    <w:p>
      <w:pPr>
        <w:pStyle w:val="Heading1"/>
      </w:pPr>
      <w:r>
        <w:t>10. Acceptance</w:t>
      </w:r>
    </w:p>
    <w:p>
      <w:r>
        <w:t>AIN-101 is accepted when all automated verification tests pass, the CPS Energy demonstration completes, service health is HEALTHY, no SQLite connection warnings occur, and the package contains every required CIR-002 dependency.</w:t>
      </w:r>
    </w:p>
    <w:p>
      <w:pPr>
        <w:jc w:val="center"/>
      </w:pPr>
      <w:r>
        <w:rPr>
          <w:b/>
          <w:color w:val="1F4E79"/>
        </w:rPr>
        <w:t>⚒ Strike true. Build clean. Verify everything.</w:t>
        <w:br/>
        <w:t>AI augments judgment. It does not replace evidence. Stay disciplined.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Ubuntu Sans" w:hAnsi="Ubuntu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Ubuntu Sans" w:hAnsi="Ubuntu San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Ubuntu Sans" w:hAnsi="Ubuntu San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Ubuntu Sans" w:hAnsi="Ubuntu Sans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