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AIN-109</w:t>
        <w:br/>
        <w:t>AnchorInsightOS™ Executive Operations Center</w:t>
      </w:r>
    </w:p>
    <w:p>
      <w:pPr>
        <w:jc w:val="center"/>
      </w:pPr>
      <w:r>
        <w:rPr>
          <w:b/>
          <w:sz w:val="22"/>
        </w:rPr>
        <w:t>Executive Operations Architecture Standard |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t>Document ID</w:t>
            </w:r>
          </w:p>
        </w:tc>
        <w:tc>
          <w:tcPr>
            <w:tcW w:type="dxa" w:w="5083"/>
            <w:vAlign w:val="center"/>
          </w:tcPr>
          <w:p>
            <w:r>
              <w:t>AIN-109</w:t>
            </w:r>
          </w:p>
        </w:tc>
      </w:tr>
      <w:tr>
        <w:tc>
          <w:tcPr>
            <w:tcW w:type="dxa" w:w="5083"/>
            <w:vAlign w:val="center"/>
          </w:tcPr>
          <w:p>
            <w:r>
              <w:t>System</w:t>
            </w:r>
          </w:p>
        </w:tc>
        <w:tc>
          <w:tcPr>
            <w:tcW w:type="dxa" w:w="5083"/>
            <w:vAlign w:val="center"/>
          </w:tcPr>
          <w:p>
            <w:r>
              <w:t>AnchorInsightOS™</w:t>
            </w:r>
          </w:p>
        </w:tc>
      </w:tr>
      <w:tr>
        <w:tc>
          <w:tcPr>
            <w:tcW w:type="dxa" w:w="5083"/>
            <w:vAlign w:val="center"/>
          </w:tcPr>
          <w:p>
            <w:r>
              <w:t>Platform Host</w:t>
            </w:r>
          </w:p>
        </w:tc>
        <w:tc>
          <w:tcPr>
            <w:tcW w:type="dxa" w:w="5083"/>
            <w:vAlign w:val="center"/>
          </w:tcPr>
          <w:p>
            <w:r>
              <w:t>AnchorOS</w:t>
            </w:r>
          </w:p>
        </w:tc>
      </w:tr>
      <w:tr>
        <w:tc>
          <w:tcPr>
            <w:tcW w:type="dxa" w:w="5083"/>
            <w:vAlign w:val="center"/>
          </w:tcPr>
          <w:p>
            <w:r>
              <w:t>Governance Layer</w:t>
            </w:r>
          </w:p>
        </w:tc>
        <w:tc>
          <w:tcPr>
            <w:tcW w:type="dxa" w:w="5083"/>
            <w:vAlign w:val="center"/>
          </w:tcPr>
          <w:p>
            <w:r>
              <w:t>AnchorStack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Product Role</w:t>
            </w:r>
          </w:p>
        </w:tc>
        <w:tc>
          <w:tcPr>
            <w:tcW w:type="dxa" w:w="5083"/>
            <w:vAlign w:val="center"/>
          </w:tcPr>
          <w:p>
            <w:r>
              <w:t>Commercial Intelligence Operating System</w:t>
            </w:r>
          </w:p>
        </w:tc>
      </w:tr>
      <w:tr>
        <w:tc>
          <w:tcPr>
            <w:tcW w:type="dxa" w:w="5083"/>
            <w:vAlign w:val="center"/>
          </w:tcPr>
          <w:p>
            <w:r>
              <w:t>Status</w:t>
            </w:r>
          </w:p>
        </w:tc>
        <w:tc>
          <w:tcPr>
            <w:tcW w:type="dxa" w:w="5083"/>
            <w:vAlign w:val="center"/>
          </w:tcPr>
          <w:p>
            <w:r>
              <w:t>Architecture Candidate</w:t>
            </w:r>
          </w:p>
        </w:tc>
      </w:tr>
    </w:tbl>
    <w:p/>
    <w:p>
      <w:pPr>
        <w:jc w:val="center"/>
      </w:pPr>
      <w:r>
        <w:rPr>
          <w:b/>
          <w:i/>
        </w:rPr>
        <w:t>AnchorOS runs the platform.</w:t>
        <w:br/>
        <w:t>AnchorStack governs continuation.</w:t>
        <w:br/>
        <w:t>AnchorInsightOS operates commercial intelligence.</w:t>
      </w:r>
    </w:p>
    <w:p>
      <w:pPr>
        <w:pStyle w:val="Heading1"/>
      </w:pPr>
      <w:r>
        <w:t>1. Mission</w:t>
      </w:r>
    </w:p>
    <w:p>
      <w:r>
        <w:t>Provide executives and commercial operators with one coherent operating center for monitoring intelligence, opportunities, relationships, reports, actions, and platform health while preserving evidence provenance, governed recommendations, and clear human authority.</w:t>
      </w:r>
    </w:p>
    <w:p>
      <w:pPr>
        <w:pStyle w:val="Heading1"/>
      </w:pPr>
      <w:r>
        <w:t>2. Operational Layer Architecture</w:t>
      </w:r>
    </w:p>
    <w:p>
      <w:r>
        <w:t>AnchorInsightOS SHALL operate as an application-layer operating environment hosted by AnchorOS and governed by AnchorStack. The three layers are complementary and SHALL remain architecturally distinct.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69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N-109_Three_Operating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Sirius Logic Systems Three Operating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Layer</w:t>
            </w:r>
          </w:p>
        </w:tc>
        <w:tc>
          <w:tcPr>
            <w:tcW w:type="dxa" w:w="2541"/>
          </w:tcPr>
          <w:p>
            <w:r>
              <w:t>System</w:t>
            </w:r>
          </w:p>
        </w:tc>
        <w:tc>
          <w:tcPr>
            <w:tcW w:type="dxa" w:w="2541"/>
          </w:tcPr>
          <w:p>
            <w:r>
              <w:t>Primary Question</w:t>
            </w:r>
          </w:p>
        </w:tc>
        <w:tc>
          <w:tcPr>
            <w:tcW w:type="dxa" w:w="2541"/>
          </w:tcPr>
          <w:p>
            <w:r>
              <w:t>Responsibility</w:t>
            </w:r>
          </w:p>
        </w:tc>
      </w:tr>
      <w:tr>
        <w:tc>
          <w:tcPr>
            <w:tcW w:type="dxa" w:w="2541"/>
          </w:tcPr>
          <w:p>
            <w:r>
              <w:t>Platform</w:t>
            </w:r>
          </w:p>
        </w:tc>
        <w:tc>
          <w:tcPr>
            <w:tcW w:type="dxa" w:w="2541"/>
          </w:tcPr>
          <w:p>
            <w:r>
              <w:t>AnchorOS</w:t>
            </w:r>
          </w:p>
        </w:tc>
        <w:tc>
          <w:tcPr>
            <w:tcW w:type="dxa" w:w="2541"/>
          </w:tcPr>
          <w:p>
            <w:r>
              <w:t>Can the platform run?</w:t>
            </w:r>
          </w:p>
        </w:tc>
        <w:tc>
          <w:tcPr>
            <w:tcW w:type="dxa" w:w="2541"/>
          </w:tcPr>
          <w:p>
            <w:r>
              <w:t>Services, lifecycle, events, health, data, APIs, applications</w:t>
            </w:r>
          </w:p>
        </w:tc>
      </w:tr>
      <w:tr>
        <w:tc>
          <w:tcPr>
            <w:tcW w:type="dxa" w:w="2541"/>
          </w:tcPr>
          <w:p>
            <w:r>
              <w:t>Governance</w:t>
            </w:r>
          </w:p>
        </w:tc>
        <w:tc>
          <w:tcPr>
            <w:tcW w:type="dxa" w:w="2541"/>
          </w:tcPr>
          <w:p>
            <w:r>
              <w:t>AnchorStack</w:t>
            </w:r>
          </w:p>
        </w:tc>
        <w:tc>
          <w:tcPr>
            <w:tcW w:type="dxa" w:w="2541"/>
          </w:tcPr>
          <w:p>
            <w:r>
              <w:t>Should execution continue?</w:t>
            </w:r>
          </w:p>
        </w:tc>
        <w:tc>
          <w:tcPr>
            <w:tcW w:type="dxa" w:w="2541"/>
          </w:tcPr>
          <w:p>
            <w:r>
              <w:t>Continuation validity, evidence, constraints, verification, replay</w:t>
            </w:r>
          </w:p>
        </w:tc>
      </w:tr>
      <w:tr>
        <w:tc>
          <w:tcPr>
            <w:tcW w:type="dxa" w:w="2541"/>
          </w:tcPr>
          <w:p>
            <w:r>
              <w:t>Intelligence</w:t>
            </w:r>
          </w:p>
        </w:tc>
        <w:tc>
          <w:tcPr>
            <w:tcW w:type="dxa" w:w="2541"/>
          </w:tcPr>
          <w:p>
            <w:r>
              <w:t>AnchorInsightOS</w:t>
            </w:r>
          </w:p>
        </w:tc>
        <w:tc>
          <w:tcPr>
            <w:tcW w:type="dxa" w:w="2541"/>
          </w:tcPr>
          <w:p>
            <w:r>
              <w:t>What deserves commercial attention?</w:t>
            </w:r>
          </w:p>
        </w:tc>
        <w:tc>
          <w:tcPr>
            <w:tcW w:type="dxa" w:w="2541"/>
          </w:tcPr>
          <w:p>
            <w:r>
              <w:t>Research, relationships, opportunities, reports, executive operations</w:t>
            </w:r>
          </w:p>
        </w:tc>
      </w:tr>
    </w:tbl>
    <w:p>
      <w:pPr>
        <w:pStyle w:val="Heading1"/>
      </w:pPr>
      <w:r>
        <w:t>3. Core Architecture</w:t>
      </w:r>
    </w:p>
    <w:p>
      <w:r>
        <w:t>AIN-109 is the executive orchestration surface for the AnchorInsightOS service family. It SHALL consume existing services rather than duplicate their data or logic.</w:t>
      </w:r>
    </w:p>
    <w:p>
      <w:pPr>
        <w:pStyle w:val="ListBullet"/>
      </w:pPr>
      <w:r>
        <w:t>Executive Briefing</w:t>
      </w:r>
    </w:p>
    <w:p>
      <w:pPr>
        <w:pStyle w:val="ListBullet"/>
      </w:pPr>
      <w:r>
        <w:t>Commercial Radar</w:t>
      </w:r>
    </w:p>
    <w:p>
      <w:pPr>
        <w:pStyle w:val="ListBullet"/>
      </w:pPr>
      <w:r>
        <w:t>Opportunity Operations</w:t>
      </w:r>
    </w:p>
    <w:p>
      <w:pPr>
        <w:pStyle w:val="ListBullet"/>
      </w:pPr>
      <w:r>
        <w:t>Relationship Intelligence</w:t>
      </w:r>
    </w:p>
    <w:p>
      <w:pPr>
        <w:pStyle w:val="ListBullet"/>
      </w:pPr>
      <w:r>
        <w:t>AI Research Monitor</w:t>
      </w:r>
    </w:p>
    <w:p>
      <w:pPr>
        <w:pStyle w:val="ListBullet"/>
      </w:pPr>
      <w:r>
        <w:t>Reporting Operations</w:t>
      </w:r>
    </w:p>
    <w:p>
      <w:pPr>
        <w:pStyle w:val="ListBullet"/>
      </w:pPr>
      <w:r>
        <w:t>Market Intelligence</w:t>
      </w:r>
    </w:p>
    <w:p>
      <w:pPr>
        <w:pStyle w:val="ListBullet"/>
      </w:pPr>
      <w:r>
        <w:t>Customer Workspace Overview</w:t>
      </w:r>
    </w:p>
    <w:p>
      <w:pPr>
        <w:pStyle w:val="ListBullet"/>
      </w:pPr>
      <w:r>
        <w:t>Platform and Governance Health</w:t>
      </w:r>
    </w:p>
    <w:p>
      <w:pPr>
        <w:pStyle w:val="ListBullet"/>
      </w:pPr>
      <w:r>
        <w:t>Alerts, Reviews, and Next Actions</w:t>
      </w:r>
    </w:p>
    <w:p>
      <w:pPr>
        <w:pStyle w:val="Heading1"/>
      </w:pPr>
      <w:r>
        <w:t>4. Executive Operations Center</w:t>
      </w:r>
    </w:p>
    <w:p>
      <w:r>
        <w:t>The Executive Operations Center SHALL provide a single cockpit that answers: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What requires attention?</w:t>
      </w:r>
    </w:p>
    <w:p>
      <w:pPr>
        <w:pStyle w:val="ListBullet"/>
      </w:pPr>
      <w:r>
        <w:t>Which opportunities are strongest?</w:t>
      </w:r>
    </w:p>
    <w:p>
      <w:pPr>
        <w:pStyle w:val="ListBullet"/>
      </w:pPr>
      <w:r>
        <w:t>Which relationships are weakening or improving?</w:t>
      </w:r>
    </w:p>
    <w:p>
      <w:pPr>
        <w:pStyle w:val="ListBullet"/>
      </w:pPr>
      <w:r>
        <w:t>Which evidence and research findings require review?</w:t>
      </w:r>
    </w:p>
    <w:p>
      <w:pPr>
        <w:pStyle w:val="ListBullet"/>
      </w:pPr>
      <w:r>
        <w:t>What actions are due?</w:t>
      </w:r>
    </w:p>
    <w:p>
      <w:pPr>
        <w:pStyle w:val="ListBullet"/>
      </w:pPr>
      <w:r>
        <w:t>Is the platform healthy?</w:t>
      </w:r>
    </w:p>
    <w:p>
      <w:pPr>
        <w:pStyle w:val="ListBullet"/>
      </w:pPr>
      <w:r>
        <w:t>Is governed execution intact?</w:t>
      </w:r>
    </w:p>
    <w:p>
      <w:pPr>
        <w:pStyle w:val="Heading1"/>
      </w:pPr>
      <w:r>
        <w:t>5. Operating Panels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Panel</w:t>
            </w:r>
          </w:p>
        </w:tc>
        <w:tc>
          <w:tcPr>
            <w:tcW w:type="dxa" w:w="5083"/>
          </w:tcPr>
          <w:p>
            <w:r>
              <w:t>Purpose</w:t>
            </w:r>
          </w:p>
        </w:tc>
      </w:tr>
      <w:tr>
        <w:tc>
          <w:tcPr>
            <w:tcW w:type="dxa" w:w="5083"/>
          </w:tcPr>
          <w:p>
            <w:r>
              <w:t>Executive Briefing</w:t>
            </w:r>
          </w:p>
        </w:tc>
        <w:tc>
          <w:tcPr>
            <w:tcW w:type="dxa" w:w="5083"/>
          </w:tcPr>
          <w:p>
            <w:r>
              <w:t>Morning summary, top priorities, current decisions, urgent reviews, major changes</w:t>
            </w:r>
          </w:p>
        </w:tc>
      </w:tr>
      <w:tr>
        <w:tc>
          <w:tcPr>
            <w:tcW w:type="dxa" w:w="5083"/>
          </w:tcPr>
          <w:p>
            <w:r>
              <w:t>Commercial Radar</w:t>
            </w:r>
          </w:p>
        </w:tc>
        <w:tc>
          <w:tcPr>
            <w:tcW w:type="dxa" w:w="5083"/>
          </w:tcPr>
          <w:p>
            <w:r>
              <w:t>New signals, leadership changes, grants, capital projects, market events</w:t>
            </w:r>
          </w:p>
        </w:tc>
      </w:tr>
      <w:tr>
        <w:tc>
          <w:tcPr>
            <w:tcW w:type="dxa" w:w="5083"/>
          </w:tcPr>
          <w:p>
            <w:r>
              <w:t>Opportunity Operations</w:t>
            </w:r>
          </w:p>
        </w:tc>
        <w:tc>
          <w:tcPr>
            <w:tcW w:type="dxa" w:w="5083"/>
          </w:tcPr>
          <w:p>
            <w:r>
              <w:t>Pipeline, opportunity confidence, lifecycle, value, dependencies, next action</w:t>
            </w:r>
          </w:p>
        </w:tc>
      </w:tr>
      <w:tr>
        <w:tc>
          <w:tcPr>
            <w:tcW w:type="dxa" w:w="5083"/>
          </w:tcPr>
          <w:p>
            <w:r>
              <w:t>Relationship Intelligence</w:t>
            </w:r>
          </w:p>
        </w:tc>
        <w:tc>
          <w:tcPr>
            <w:tcW w:type="dxa" w:w="5083"/>
          </w:tcPr>
          <w:p>
            <w:r>
              <w:t>Key contacts, buying committees, influence, relationship health, dormant relationships</w:t>
            </w:r>
          </w:p>
        </w:tc>
      </w:tr>
      <w:tr>
        <w:tc>
          <w:tcPr>
            <w:tcW w:type="dxa" w:w="5083"/>
          </w:tcPr>
          <w:p>
            <w:r>
              <w:t>AI Research Monitor</w:t>
            </w:r>
          </w:p>
        </w:tc>
        <w:tc>
          <w:tcPr>
            <w:tcW w:type="dxa" w:w="5083"/>
          </w:tcPr>
          <w:p>
            <w:r>
              <w:t>Research runs, evidence queue, low-confidence findings, source health, review backlog</w:t>
            </w:r>
          </w:p>
        </w:tc>
      </w:tr>
      <w:tr>
        <w:tc>
          <w:tcPr>
            <w:tcW w:type="dxa" w:w="5083"/>
          </w:tcPr>
          <w:p>
            <w:r>
              <w:t>Reporting Operations</w:t>
            </w:r>
          </w:p>
        </w:tc>
        <w:tc>
          <w:tcPr>
            <w:tcW w:type="dxa" w:w="5083"/>
          </w:tcPr>
          <w:p>
            <w:r>
              <w:t>Recent reports, report freshness, archived artifacts, pending generation requests</w:t>
            </w:r>
          </w:p>
        </w:tc>
      </w:tr>
      <w:tr>
        <w:tc>
          <w:tcPr>
            <w:tcW w:type="dxa" w:w="5083"/>
          </w:tcPr>
          <w:p>
            <w:r>
              <w:t>Market Intelligence</w:t>
            </w:r>
          </w:p>
        </w:tc>
        <w:tc>
          <w:tcPr>
            <w:tcW w:type="dxa" w:w="5083"/>
          </w:tcPr>
          <w:p>
            <w:r>
              <w:t>Market trends, target organizations, comparative confidence, opportunity themes</w:t>
            </w:r>
          </w:p>
        </w:tc>
      </w:tr>
      <w:tr>
        <w:tc>
          <w:tcPr>
            <w:tcW w:type="dxa" w:w="5083"/>
          </w:tcPr>
          <w:p>
            <w:r>
              <w:t>Platform Health</w:t>
            </w:r>
          </w:p>
        </w:tc>
        <w:tc>
          <w:tcPr>
            <w:tcW w:type="dxa" w:w="5083"/>
          </w:tcPr>
          <w:p>
            <w:r>
              <w:t>AnchorOS services, registry, database, scheduler, APIs, application status</w:t>
            </w:r>
          </w:p>
        </w:tc>
      </w:tr>
      <w:tr>
        <w:tc>
          <w:tcPr>
            <w:tcW w:type="dxa" w:w="5083"/>
          </w:tcPr>
          <w:p>
            <w:r>
              <w:t>Governance Health</w:t>
            </w:r>
          </w:p>
        </w:tc>
        <w:tc>
          <w:tcPr>
            <w:tcW w:type="dxa" w:w="5083"/>
          </w:tcPr>
          <w:p>
            <w:r>
              <w:t>AnchorStack status, continuation-validity checks, unresolved constraints, replay state</w:t>
            </w:r>
          </w:p>
        </w:tc>
      </w:tr>
    </w:tbl>
    <w:p>
      <w:pPr>
        <w:pStyle w:val="Heading1"/>
      </w:pPr>
      <w:r>
        <w:t>6. Executive Briefing Contract</w:t>
      </w:r>
    </w:p>
    <w:p>
      <w:r>
        <w:t>The briefing SHALL be concise, traceable, and action-oriented. Every material item SHALL link to its underlying organization, evidence, scorecard, research run, relationship, opportunity, or report.</w:t>
      </w:r>
    </w:p>
    <w:p>
      <w:pPr>
        <w:pStyle w:val="ListBullet"/>
      </w:pPr>
      <w:r>
        <w:t>Current date and briefing generation time</w:t>
      </w:r>
    </w:p>
    <w:p>
      <w:pPr>
        <w:pStyle w:val="ListBullet"/>
      </w:pPr>
      <w:r>
        <w:t>Top five recommended actions</w:t>
      </w:r>
    </w:p>
    <w:p>
      <w:pPr>
        <w:pStyle w:val="ListBullet"/>
      </w:pPr>
      <w:r>
        <w:t>New or materially changed opportunities</w:t>
      </w:r>
    </w:p>
    <w:p>
      <w:pPr>
        <w:pStyle w:val="ListBullet"/>
      </w:pPr>
      <w:r>
        <w:t>Evidence requiring human review</w:t>
      </w:r>
    </w:p>
    <w:p>
      <w:pPr>
        <w:pStyle w:val="ListBullet"/>
      </w:pPr>
      <w:r>
        <w:t>Relationship changes</w:t>
      </w:r>
    </w:p>
    <w:p>
      <w:pPr>
        <w:pStyle w:val="ListBullet"/>
      </w:pPr>
      <w:r>
        <w:t>Research failures or stale coverage</w:t>
      </w:r>
    </w:p>
    <w:p>
      <w:pPr>
        <w:pStyle w:val="ListBullet"/>
      </w:pPr>
      <w:r>
        <w:t>Platform or governance degradation</w:t>
      </w:r>
    </w:p>
    <w:p>
      <w:pPr>
        <w:pStyle w:val="Heading1"/>
      </w:pPr>
      <w:r>
        <w:t>7. Health Model</w:t>
      </w:r>
    </w:p>
    <w:p>
      <w:r>
        <w:t>AIN-109 SHALL present health in three separate dimensions so operational, governance, and commercial concerns are never blended.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Dimension</w:t>
            </w:r>
          </w:p>
        </w:tc>
        <w:tc>
          <w:tcPr>
            <w:tcW w:type="dxa" w:w="3389"/>
          </w:tcPr>
          <w:p>
            <w:r>
              <w:t>Source</w:t>
            </w:r>
          </w:p>
        </w:tc>
        <w:tc>
          <w:tcPr>
            <w:tcW w:type="dxa" w:w="3389"/>
          </w:tcPr>
          <w:p>
            <w:r>
              <w:t>Example Measures</w:t>
            </w:r>
          </w:p>
        </w:tc>
      </w:tr>
      <w:tr>
        <w:tc>
          <w:tcPr>
            <w:tcW w:type="dxa" w:w="3389"/>
          </w:tcPr>
          <w:p>
            <w:r>
              <w:t>Platform Health</w:t>
            </w:r>
          </w:p>
        </w:tc>
        <w:tc>
          <w:tcPr>
            <w:tcW w:type="dxa" w:w="3389"/>
          </w:tcPr>
          <w:p>
            <w:r>
              <w:t>AnchorOS</w:t>
            </w:r>
          </w:p>
        </w:tc>
        <w:tc>
          <w:tcPr>
            <w:tcW w:type="dxa" w:w="3389"/>
          </w:tcPr>
          <w:p>
            <w:r>
              <w:t>Services, database, APIs, scheduler, event bus, applications</w:t>
            </w:r>
          </w:p>
        </w:tc>
      </w:tr>
      <w:tr>
        <w:tc>
          <w:tcPr>
            <w:tcW w:type="dxa" w:w="3389"/>
          </w:tcPr>
          <w:p>
            <w:r>
              <w:t>Governance Health</w:t>
            </w:r>
          </w:p>
        </w:tc>
        <w:tc>
          <w:tcPr>
            <w:tcW w:type="dxa" w:w="3389"/>
          </w:tcPr>
          <w:p>
            <w:r>
              <w:t>AnchorStack</w:t>
            </w:r>
          </w:p>
        </w:tc>
        <w:tc>
          <w:tcPr>
            <w:tcW w:type="dxa" w:w="3389"/>
          </w:tcPr>
          <w:p>
            <w:r>
              <w:t>Validity, constraints, unresolved exceptions, verification, replay</w:t>
            </w:r>
          </w:p>
        </w:tc>
      </w:tr>
      <w:tr>
        <w:tc>
          <w:tcPr>
            <w:tcW w:type="dxa" w:w="3389"/>
          </w:tcPr>
          <w:p>
            <w:r>
              <w:t>Intelligence Health</w:t>
            </w:r>
          </w:p>
        </w:tc>
        <w:tc>
          <w:tcPr>
            <w:tcW w:type="dxa" w:w="3389"/>
          </w:tcPr>
          <w:p>
            <w:r>
              <w:t>AnchorInsightOS</w:t>
            </w:r>
          </w:p>
        </w:tc>
        <w:tc>
          <w:tcPr>
            <w:tcW w:type="dxa" w:w="3389"/>
          </w:tcPr>
          <w:p>
            <w:r>
              <w:t>Research freshness, evidence coverage, review backlog, opportunity confidence</w:t>
            </w:r>
          </w:p>
        </w:tc>
      </w:tr>
    </w:tbl>
    <w:p>
      <w:pPr>
        <w:pStyle w:val="Heading1"/>
      </w:pPr>
      <w:r>
        <w:t>8. Alerts and Attention Management</w:t>
      </w:r>
    </w:p>
    <w:p>
      <w:r>
        <w:t>AIN-109 SHALL prioritize attention rather than merely display information.</w:t>
      </w:r>
    </w:p>
    <w:p>
      <w:pPr>
        <w:pStyle w:val="ListBullet"/>
      </w:pPr>
      <w:r>
        <w:t>Critical — platform or governance failure; immediate response required</w:t>
      </w:r>
    </w:p>
    <w:p>
      <w:pPr>
        <w:pStyle w:val="ListBullet"/>
      </w:pPr>
      <w:r>
        <w:t>High — material opportunity, risk, or evidence condition requiring prompt review</w:t>
      </w:r>
    </w:p>
    <w:p>
      <w:pPr>
        <w:pStyle w:val="ListBullet"/>
      </w:pPr>
      <w:r>
        <w:t>Medium — scheduled review, stale intelligence, or relationship decay</w:t>
      </w:r>
    </w:p>
    <w:p>
      <w:pPr>
        <w:pStyle w:val="ListBullet"/>
      </w:pPr>
      <w:r>
        <w:t>Low — informational change or routine follow-up</w:t>
      </w:r>
    </w:p>
    <w:p>
      <w:pPr>
        <w:pStyle w:val="Heading1"/>
      </w:pPr>
      <w:r>
        <w:t>9. Decision Support</w:t>
      </w:r>
    </w:p>
    <w:p>
      <w:r>
        <w:t>AIN-109 SHALL summarize recommendations but SHALL NOT become the authority for commercial commitment. Recommendations SHALL remain traceable to approved scores, evidence, relationships, opportunities, and human review.</w:t>
      </w:r>
    </w:p>
    <w:p>
      <w:pPr>
        <w:pStyle w:val="Heading1"/>
      </w:pPr>
      <w:r>
        <w:t>10. Data and Service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Contribution</w:t>
            </w:r>
          </w:p>
        </w:tc>
      </w:tr>
      <w:tr>
        <w:tc>
          <w:tcPr>
            <w:tcW w:type="dxa" w:w="5083"/>
          </w:tcPr>
          <w:p>
            <w:r>
              <w:t>AIN-101</w:t>
            </w:r>
          </w:p>
        </w:tc>
        <w:tc>
          <w:tcPr>
            <w:tcW w:type="dxa" w:w="5083"/>
          </w:tcPr>
          <w:p>
            <w:r>
              <w:t>Commercial Intelligence Registry Service</w:t>
            </w:r>
          </w:p>
        </w:tc>
      </w:tr>
      <w:tr>
        <w:tc>
          <w:tcPr>
            <w:tcW w:type="dxa" w:w="5083"/>
          </w:tcPr>
          <w:p>
            <w:r>
              <w:t>AIN-102</w:t>
            </w:r>
          </w:p>
        </w:tc>
        <w:tc>
          <w:tcPr>
            <w:tcW w:type="dxa" w:w="5083"/>
          </w:tcPr>
          <w:p>
            <w:r>
              <w:t>Scoring and Decision Service</w:t>
            </w:r>
          </w:p>
        </w:tc>
      </w:tr>
      <w:tr>
        <w:tc>
          <w:tcPr>
            <w:tcW w:type="dxa" w:w="5083"/>
          </w:tcPr>
          <w:p>
            <w:r>
              <w:t>AIN-103</w:t>
            </w:r>
          </w:p>
        </w:tc>
        <w:tc>
          <w:tcPr>
            <w:tcW w:type="dxa" w:w="5083"/>
          </w:tcPr>
          <w:p>
            <w:r>
              <w:t>Organization Intelligence Profile Service</w:t>
            </w:r>
          </w:p>
        </w:tc>
      </w:tr>
      <w:tr>
        <w:tc>
          <w:tcPr>
            <w:tcW w:type="dxa" w:w="5083"/>
          </w:tcPr>
          <w:p>
            <w:r>
              <w:t>AIN-104</w:t>
            </w:r>
          </w:p>
        </w:tc>
        <w:tc>
          <w:tcPr>
            <w:tcW w:type="dxa" w:w="5083"/>
          </w:tcPr>
          <w:p>
            <w:r>
              <w:t>Web Application Adapter and Organization Dashboard</w:t>
            </w:r>
          </w:p>
        </w:tc>
      </w:tr>
      <w:tr>
        <w:tc>
          <w:tcPr>
            <w:tcW w:type="dxa" w:w="5083"/>
          </w:tcPr>
          <w:p>
            <w:r>
              <w:t>AIN-105</w:t>
            </w:r>
          </w:p>
        </w:tc>
        <w:tc>
          <w:tcPr>
            <w:tcW w:type="dxa" w:w="5083"/>
          </w:tcPr>
          <w:p>
            <w:r>
              <w:t>AI Research and Intelligence Engine</w:t>
            </w:r>
          </w:p>
        </w:tc>
      </w:tr>
      <w:tr>
        <w:tc>
          <w:tcPr>
            <w:tcW w:type="dxa" w:w="5083"/>
          </w:tcPr>
          <w:p>
            <w:r>
              <w:t>AIN-106</w:t>
            </w:r>
          </w:p>
        </w:tc>
        <w:tc>
          <w:tcPr>
            <w:tcW w:type="dxa" w:w="5083"/>
          </w:tcPr>
          <w:p>
            <w:r>
              <w:t>Relationship Intelligence Engine</w:t>
            </w:r>
          </w:p>
        </w:tc>
      </w:tr>
      <w:tr>
        <w:tc>
          <w:tcPr>
            <w:tcW w:type="dxa" w:w="5083"/>
          </w:tcPr>
          <w:p>
            <w:r>
              <w:t>AIN-107</w:t>
            </w:r>
          </w:p>
        </w:tc>
        <w:tc>
          <w:tcPr>
            <w:tcW w:type="dxa" w:w="5083"/>
          </w:tcPr>
          <w:p>
            <w:r>
              <w:t>Intelligence Reporting and Decision Support Engine</w:t>
            </w:r>
          </w:p>
        </w:tc>
      </w:tr>
      <w:tr>
        <w:tc>
          <w:tcPr>
            <w:tcW w:type="dxa" w:w="5083"/>
          </w:tcPr>
          <w:p>
            <w:r>
              <w:t>AIN-108</w:t>
            </w:r>
          </w:p>
        </w:tc>
        <w:tc>
          <w:tcPr>
            <w:tcW w:type="dxa" w:w="5083"/>
          </w:tcPr>
          <w:p>
            <w:r>
              <w:t>Opportunity Intelligence Engine</w:t>
            </w:r>
          </w:p>
        </w:tc>
      </w:tr>
      <w:tr>
        <w:tc>
          <w:tcPr>
            <w:tcW w:type="dxa" w:w="5083"/>
          </w:tcPr>
          <w:p>
            <w:r>
              <w:t>AnchorOS</w:t>
            </w:r>
          </w:p>
        </w:tc>
        <w:tc>
          <w:tcPr>
            <w:tcW w:type="dxa" w:w="5083"/>
          </w:tcPr>
          <w:p>
            <w:r>
              <w:t>Platform runtime, health, lifecycle, services, events</w:t>
            </w:r>
          </w:p>
        </w:tc>
      </w:tr>
      <w:tr>
        <w:tc>
          <w:tcPr>
            <w:tcW w:type="dxa" w:w="5083"/>
          </w:tcPr>
          <w:p>
            <w:r>
              <w:t>AnchorStack</w:t>
            </w:r>
          </w:p>
        </w:tc>
        <w:tc>
          <w:tcPr>
            <w:tcW w:type="dxa" w:w="5083"/>
          </w:tcPr>
          <w:p>
            <w:r>
              <w:t>Continuation-validity and operational governance status</w:t>
            </w:r>
          </w:p>
        </w:tc>
      </w:tr>
    </w:tbl>
    <w:p>
      <w:pPr>
        <w:pStyle w:val="Heading1"/>
      </w:pPr>
      <w:r>
        <w:t>11. Non-Goals</w:t>
      </w:r>
    </w:p>
    <w:p>
      <w:pPr>
        <w:pStyle w:val="ListBullet"/>
      </w:pPr>
      <w:r>
        <w:t>AIN-109 SHALL NOT replace AIN-101 through AIN-108.</w:t>
      </w:r>
    </w:p>
    <w:p>
      <w:pPr>
        <w:pStyle w:val="ListBullet"/>
      </w:pPr>
      <w:r>
        <w:t>AIN-109 SHALL NOT duplicate authoritative registry data.</w:t>
      </w:r>
    </w:p>
    <w:p>
      <w:pPr>
        <w:pStyle w:val="ListBullet"/>
      </w:pPr>
      <w:r>
        <w:t>AIN-109 SHALL NOT invent facts, contacts, opportunities, or scores.</w:t>
      </w:r>
    </w:p>
    <w:p>
      <w:pPr>
        <w:pStyle w:val="ListBullet"/>
      </w:pPr>
      <w:r>
        <w:t>AIN-109 SHALL NOT override AnchorStack governance status.</w:t>
      </w:r>
    </w:p>
    <w:p>
      <w:pPr>
        <w:pStyle w:val="ListBullet"/>
      </w:pPr>
      <w:r>
        <w:t>AIN-109 SHALL NOT automatically commit commercial actions.</w:t>
      </w:r>
    </w:p>
    <w:p>
      <w:pPr>
        <w:pStyle w:val="ListBullet"/>
      </w:pPr>
      <w:r>
        <w:t>AIN-109 SHALL NOT hide contradictory evidence or degraded health.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AIN-109-V01 — The Three Operating Layers diagram is displayed in the Executive Operations Center.</w:t>
      </w:r>
    </w:p>
    <w:p>
      <w:pPr>
        <w:pStyle w:val="ListBullet"/>
      </w:pPr>
      <w:r>
        <w:t>AIN-109-V02 — AnchorOS, AnchorStack, and AnchorInsightOS health are shown separately.</w:t>
      </w:r>
    </w:p>
    <w:p>
      <w:pPr>
        <w:pStyle w:val="ListBullet"/>
      </w:pPr>
      <w:r>
        <w:t>AIN-109-V03 — The briefing presents traceable priorities and next actions.</w:t>
      </w:r>
    </w:p>
    <w:p>
      <w:pPr>
        <w:pStyle w:val="ListBullet"/>
      </w:pPr>
      <w:r>
        <w:t>AIN-109-V04 — Opportunity, relationship, research, and reporting panels use authoritative service outputs.</w:t>
      </w:r>
    </w:p>
    <w:p>
      <w:pPr>
        <w:pStyle w:val="ListBullet"/>
      </w:pPr>
      <w:r>
        <w:t>AIN-109-V05 — Material alerts are ranked by severity.</w:t>
      </w:r>
    </w:p>
    <w:p>
      <w:pPr>
        <w:pStyle w:val="ListBullet"/>
      </w:pPr>
      <w:r>
        <w:t>AIN-109-V06 — Missing or stale intelligence remains visible.</w:t>
      </w:r>
    </w:p>
    <w:p>
      <w:pPr>
        <w:pStyle w:val="ListBullet"/>
      </w:pPr>
      <w:r>
        <w:t>AIN-109-V07 — No panel performs unmanaged SQL or duplicates service logic.</w:t>
      </w:r>
    </w:p>
    <w:p>
      <w:pPr>
        <w:pStyle w:val="ListBullet"/>
      </w:pPr>
      <w:r>
        <w:t>AIN-109-V08 — Every recommendation links to its supporting evidence and decision basis.</w:t>
      </w:r>
    </w:p>
    <w:p>
      <w:pPr>
        <w:pStyle w:val="Heading1"/>
      </w:pPr>
      <w:r>
        <w:t>13. Strategic Position</w:t>
      </w:r>
    </w:p>
    <w:p>
      <w:r>
        <w:t>AIN-109 establishes AnchorInsightOS as a commercial intelligence operating system rather than a collection of isolated tools. It provides one executive environment where the business can observe intelligence, understand evidence, review opportunities, monitor relationships, verify platform health, and select the next justified action.</w:t>
      </w:r>
    </w:p>
    <w:p>
      <w:pPr>
        <w:jc w:val="center"/>
      </w:pPr>
      <w:r>
        <w:rPr>
          <w:b/>
          <w:color w:val="1F4E79"/>
        </w:rPr>
        <w:t>⚒ Strike true. Build clean. Verify everything.</w:t>
        <w:br/>
        <w:t>AI augments judgment. It does not replace evidence. Stay disciplined.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 Sans" w:hAnsi="Ubunt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Ubuntu Sans" w:hAnsi="Ubunt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Ubuntu Sans" w:hAnsi="Ubuntu San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Ubuntu Sans" w:hAnsi="Ubuntu San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Ubuntu Sans" w:hAnsi="Ubuntu San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