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CIR-002</w:t>
        <w:br/>
        <w:t>AnchorInsight™ SQLite Database Schema</w:t>
      </w:r>
    </w:p>
    <w:p>
      <w:pPr>
        <w:jc w:val="center"/>
      </w:pPr>
      <w:r>
        <w:rPr>
          <w:b/>
          <w:sz w:val="22"/>
        </w:rPr>
        <w:t>Commercial Intelligence Registry | Version 1.0</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Document ID</w:t>
            </w:r>
          </w:p>
        </w:tc>
        <w:tc>
          <w:tcPr>
            <w:tcW w:type="dxa" w:w="5040"/>
            <w:vAlign w:val="center"/>
          </w:tcPr>
          <w:p>
            <w:r>
              <w:t>CIR-002</w:t>
            </w:r>
          </w:p>
        </w:tc>
      </w:tr>
      <w:tr>
        <w:tc>
          <w:tcPr>
            <w:tcW w:type="dxa" w:w="5040"/>
            <w:vAlign w:val="center"/>
          </w:tcPr>
          <w:p>
            <w:r>
              <w:t>Title</w:t>
            </w:r>
          </w:p>
        </w:tc>
        <w:tc>
          <w:tcPr>
            <w:tcW w:type="dxa" w:w="5040"/>
            <w:vAlign w:val="center"/>
          </w:tcPr>
          <w:p>
            <w:r>
              <w:t>AnchorInsight SQLite Database Schema</w:t>
            </w:r>
          </w:p>
        </w:tc>
      </w:tr>
      <w:tr>
        <w:tc>
          <w:tcPr>
            <w:tcW w:type="dxa" w:w="5040"/>
            <w:vAlign w:val="center"/>
          </w:tcPr>
          <w:p>
            <w:r>
              <w:t>Version</w:t>
            </w:r>
          </w:p>
        </w:tc>
        <w:tc>
          <w:tcPr>
            <w:tcW w:type="dxa" w:w="5040"/>
            <w:vAlign w:val="center"/>
          </w:tcPr>
          <w:p>
            <w:r>
              <w:t>1.0</w:t>
            </w:r>
          </w:p>
        </w:tc>
      </w:tr>
      <w:tr>
        <w:tc>
          <w:tcPr>
            <w:tcW w:type="dxa" w:w="5040"/>
            <w:vAlign w:val="center"/>
          </w:tcPr>
          <w:p>
            <w:r>
              <w:t>Status</w:t>
            </w:r>
          </w:p>
        </w:tc>
        <w:tc>
          <w:tcPr>
            <w:tcW w:type="dxa" w:w="5040"/>
            <w:vAlign w:val="center"/>
          </w:tcPr>
          <w:p>
            <w:r>
              <w:t>Implementation Candidate</w:t>
            </w:r>
          </w:p>
        </w:tc>
      </w:tr>
      <w:tr>
        <w:tc>
          <w:tcPr>
            <w:tcW w:type="dxa" w:w="5040"/>
            <w:vAlign w:val="center"/>
          </w:tcPr>
          <w:p>
            <w:r>
              <w:t>Product</w:t>
            </w:r>
          </w:p>
        </w:tc>
        <w:tc>
          <w:tcPr>
            <w:tcW w:type="dxa" w:w="5040"/>
            <w:vAlign w:val="center"/>
          </w:tcPr>
          <w:p>
            <w:r>
              <w:t>AnchorInsight™</w:t>
            </w:r>
          </w:p>
        </w:tc>
      </w:tr>
      <w:tr>
        <w:tc>
          <w:tcPr>
            <w:tcW w:type="dxa" w:w="5040"/>
            <w:vAlign w:val="center"/>
          </w:tcPr>
          <w:p>
            <w:r>
              <w:t>Platform</w:t>
            </w:r>
          </w:p>
        </w:tc>
        <w:tc>
          <w:tcPr>
            <w:tcW w:type="dxa" w:w="5040"/>
            <w:vAlign w:val="center"/>
          </w:tcPr>
          <w:p>
            <w:r>
              <w:t>AnchorOS</w:t>
            </w:r>
          </w:p>
        </w:tc>
      </w:tr>
      <w:tr>
        <w:tc>
          <w:tcPr>
            <w:tcW w:type="dxa" w:w="5040"/>
            <w:vAlign w:val="center"/>
          </w:tcPr>
          <w:p>
            <w:r>
              <w:t>Governance</w:t>
            </w:r>
          </w:p>
        </w:tc>
        <w:tc>
          <w:tcPr>
            <w:tcW w:type="dxa" w:w="5040"/>
            <w:vAlign w:val="center"/>
          </w:tcPr>
          <w:p>
            <w:r>
              <w:t>Commercial Operating Framework</w:t>
            </w:r>
          </w:p>
        </w:tc>
      </w:tr>
    </w:tbl>
    <w:p/>
    <w:p>
      <w:pPr>
        <w:jc w:val="center"/>
      </w:pPr>
      <w:r>
        <w:rPr>
          <w:b/>
          <w:i/>
        </w:rPr>
        <w:t>Commercial intelligence is not the accumulation of information.</w:t>
        <w:br/>
        <w:t>It is the continuous transformation of evidence into justified commercial action.</w:t>
      </w:r>
    </w:p>
    <w:p>
      <w:pPr>
        <w:pStyle w:val="Heading1"/>
      </w:pPr>
      <w:r>
        <w:t>1. Purpose</w:t>
      </w:r>
    </w:p>
    <w:p>
      <w:r>
        <w:t>CIR-002 translates the CIR-001 normative registry model into a concrete SQLite schema for the first AnchorInsight implementation. It establishes durable identifiers, referential integrity, historical preservation, migration tracking, and database health verification without defining the web interface or AI workflow.</w:t>
      </w:r>
    </w:p>
    <w:p>
      <w:pPr>
        <w:pStyle w:val="Heading1"/>
      </w:pPr>
      <w:r>
        <w:t>2. Implementation Scope</w:t>
      </w:r>
    </w:p>
    <w:p>
      <w:pPr>
        <w:pStyle w:val="ListBullet"/>
      </w:pPr>
      <w:r>
        <w:t>SQLite schema and first migration.</w:t>
      </w:r>
    </w:p>
    <w:p>
      <w:pPr>
        <w:pStyle w:val="ListBullet"/>
      </w:pPr>
      <w:r>
        <w:t>COF identifier sequencing.</w:t>
      </w:r>
    </w:p>
    <w:p>
      <w:pPr>
        <w:pStyle w:val="ListBullet"/>
      </w:pPr>
      <w:r>
        <w:t>Registry persistence for markets, organizations, memberships, contacts, relationships, opportunities, topics, signals, sources, evidence, assessments, scorecards, assumptions, risks, actions, and lifecycle events.</w:t>
      </w:r>
    </w:p>
    <w:p>
      <w:pPr>
        <w:pStyle w:val="ListBullet"/>
      </w:pPr>
      <w:r>
        <w:t>Integrity constraints, indexes, and append-only controls.</w:t>
      </w:r>
    </w:p>
    <w:p>
      <w:pPr>
        <w:pStyle w:val="ListBullet"/>
      </w:pPr>
      <w:r>
        <w:t>CPS Energy proof-case seed.</w:t>
      </w:r>
    </w:p>
    <w:p>
      <w:pPr>
        <w:pStyle w:val="ListBullet"/>
      </w:pPr>
      <w:r>
        <w:t>Automated database verification.</w:t>
      </w:r>
    </w:p>
    <w:p>
      <w:pPr>
        <w:pStyle w:val="Heading1"/>
      </w:pPr>
      <w:r>
        <w:t>3. Architecture Boundary</w:t>
      </w:r>
    </w:p>
    <w:p>
      <w:r>
        <w:t>CIR-002 owns durable persistence. AOS-180 owns governed import and export. AIN-101 will own the application-facing registry service. The website SHALL access the registry through a service layer and SHALL NOT execute unmanaged SQL directly.</w:t>
      </w:r>
    </w:p>
    <w:p>
      <w:pPr>
        <w:pStyle w:val="Heading1"/>
      </w:pPr>
      <w:r>
        <w:t>4. Database Configuration</w:t>
      </w:r>
    </w:p>
    <w:tbl>
      <w:tblPr>
        <w:tblStyle w:val="TableGrid"/>
        <w:tblW w:type="auto" w:w="0"/>
        <w:jc w:val="center"/>
        <w:tblLook w:firstColumn="1" w:firstRow="1" w:lastColumn="0" w:lastRow="0" w:noHBand="0" w:noVBand="1" w:val="04A0"/>
      </w:tblPr>
      <w:tblGrid>
        <w:gridCol w:w="5040"/>
        <w:gridCol w:w="5040"/>
      </w:tblGrid>
      <w:tr>
        <w:tc>
          <w:tcPr>
            <w:tcW w:type="dxa" w:w="5040"/>
          </w:tcPr>
          <w:p>
            <w:r>
              <w:t>Setting</w:t>
            </w:r>
          </w:p>
        </w:tc>
        <w:tc>
          <w:tcPr>
            <w:tcW w:type="dxa" w:w="5040"/>
          </w:tcPr>
          <w:p>
            <w:r>
              <w:t>Required Value</w:t>
            </w:r>
          </w:p>
        </w:tc>
      </w:tr>
      <w:tr>
        <w:tc>
          <w:tcPr>
            <w:tcW w:type="dxa" w:w="5040"/>
          </w:tcPr>
          <w:p>
            <w:r>
              <w:t>Foreign keys</w:t>
            </w:r>
          </w:p>
        </w:tc>
        <w:tc>
          <w:tcPr>
            <w:tcW w:type="dxa" w:w="5040"/>
          </w:tcPr>
          <w:p>
            <w:r>
              <w:t>ON</w:t>
            </w:r>
          </w:p>
        </w:tc>
      </w:tr>
      <w:tr>
        <w:tc>
          <w:tcPr>
            <w:tcW w:type="dxa" w:w="5040"/>
          </w:tcPr>
          <w:p>
            <w:r>
              <w:t>Journal mode</w:t>
            </w:r>
          </w:p>
        </w:tc>
        <w:tc>
          <w:tcPr>
            <w:tcW w:type="dxa" w:w="5040"/>
          </w:tcPr>
          <w:p>
            <w:r>
              <w:t>WAL</w:t>
            </w:r>
          </w:p>
        </w:tc>
      </w:tr>
      <w:tr>
        <w:tc>
          <w:tcPr>
            <w:tcW w:type="dxa" w:w="5040"/>
          </w:tcPr>
          <w:p>
            <w:r>
              <w:t>Synchronous mode</w:t>
            </w:r>
          </w:p>
        </w:tc>
        <w:tc>
          <w:tcPr>
            <w:tcW w:type="dxa" w:w="5040"/>
          </w:tcPr>
          <w:p>
            <w:r>
              <w:t>NORMAL</w:t>
            </w:r>
          </w:p>
        </w:tc>
      </w:tr>
      <w:tr>
        <w:tc>
          <w:tcPr>
            <w:tcW w:type="dxa" w:w="5040"/>
          </w:tcPr>
          <w:p>
            <w:r>
              <w:t>Schema version</w:t>
            </w:r>
          </w:p>
        </w:tc>
        <w:tc>
          <w:tcPr>
            <w:tcW w:type="dxa" w:w="5040"/>
          </w:tcPr>
          <w:p>
            <w:r>
              <w:t>1</w:t>
            </w:r>
          </w:p>
        </w:tc>
      </w:tr>
      <w:tr>
        <w:tc>
          <w:tcPr>
            <w:tcW w:type="dxa" w:w="5040"/>
          </w:tcPr>
          <w:p>
            <w:r>
              <w:t>Migration table</w:t>
            </w:r>
          </w:p>
        </w:tc>
        <w:tc>
          <w:tcPr>
            <w:tcW w:type="dxa" w:w="5040"/>
          </w:tcPr>
          <w:p>
            <w:r>
              <w:t>schema_migrations</w:t>
            </w:r>
          </w:p>
        </w:tc>
      </w:tr>
      <w:tr>
        <w:tc>
          <w:tcPr>
            <w:tcW w:type="dxa" w:w="5040"/>
          </w:tcPr>
          <w:p>
            <w:r>
              <w:t>Application database</w:t>
            </w:r>
          </w:p>
        </w:tc>
        <w:tc>
          <w:tcPr>
            <w:tcW w:type="dxa" w:w="5040"/>
          </w:tcPr>
          <w:p>
            <w:r>
              <w:t>anchorinsight.db</w:t>
            </w:r>
          </w:p>
        </w:tc>
      </w:tr>
    </w:tbl>
    <w:p>
      <w:pPr>
        <w:pStyle w:val="Heading1"/>
      </w:pPr>
      <w:r>
        <w:t>5. Schema Inventory</w:t>
      </w:r>
    </w:p>
    <w:tbl>
      <w:tblPr>
        <w:tblStyle w:val="TableGrid"/>
        <w:tblW w:type="auto" w:w="0"/>
        <w:jc w:val="center"/>
        <w:tblLook w:firstColumn="1" w:firstRow="1" w:lastColumn="0" w:lastRow="0" w:noHBand="0" w:noVBand="1" w:val="04A0"/>
      </w:tblPr>
      <w:tblGrid>
        <w:gridCol w:w="5040"/>
        <w:gridCol w:w="5040"/>
      </w:tblGrid>
      <w:tr>
        <w:tc>
          <w:tcPr>
            <w:tcW w:type="dxa" w:w="5040"/>
          </w:tcPr>
          <w:p>
            <w:r>
              <w:t>Table</w:t>
            </w:r>
          </w:p>
        </w:tc>
        <w:tc>
          <w:tcPr>
            <w:tcW w:type="dxa" w:w="5040"/>
          </w:tcPr>
          <w:p>
            <w:r>
              <w:t>Purpose</w:t>
            </w:r>
          </w:p>
        </w:tc>
      </w:tr>
      <w:tr>
        <w:tc>
          <w:tcPr>
            <w:tcW w:type="dxa" w:w="5040"/>
          </w:tcPr>
          <w:p>
            <w:r>
              <w:t>schema_migrations</w:t>
            </w:r>
          </w:p>
        </w:tc>
        <w:tc>
          <w:tcPr>
            <w:tcW w:type="dxa" w:w="5040"/>
          </w:tcPr>
          <w:p>
            <w:r>
              <w:t>Applied schema revisions</w:t>
            </w:r>
          </w:p>
        </w:tc>
      </w:tr>
      <w:tr>
        <w:tc>
          <w:tcPr>
            <w:tcW w:type="dxa" w:w="5040"/>
          </w:tcPr>
          <w:p>
            <w:r>
              <w:t>cof_id_sequences</w:t>
            </w:r>
          </w:p>
        </w:tc>
        <w:tc>
          <w:tcPr>
            <w:tcW w:type="dxa" w:w="5040"/>
          </w:tcPr>
          <w:p>
            <w:r>
              <w:t>Human-readable COF identifier sequencing</w:t>
            </w:r>
          </w:p>
        </w:tc>
      </w:tr>
      <w:tr>
        <w:tc>
          <w:tcPr>
            <w:tcW w:type="dxa" w:w="5040"/>
          </w:tcPr>
          <w:p>
            <w:r>
              <w:t>markets</w:t>
            </w:r>
          </w:p>
        </w:tc>
        <w:tc>
          <w:tcPr>
            <w:tcW w:type="dxa" w:w="5040"/>
          </w:tcPr>
          <w:p>
            <w:r>
              <w:t>Addressable commercial markets</w:t>
            </w:r>
          </w:p>
        </w:tc>
      </w:tr>
      <w:tr>
        <w:tc>
          <w:tcPr>
            <w:tcW w:type="dxa" w:w="5040"/>
          </w:tcPr>
          <w:p>
            <w:r>
              <w:t>organizations</w:t>
            </w:r>
          </w:p>
        </w:tc>
        <w:tc>
          <w:tcPr>
            <w:tcW w:type="dxa" w:w="5040"/>
          </w:tcPr>
          <w:p>
            <w:r>
              <w:t>Companies, institutions, associations, and infrastructure enterprises</w:t>
            </w:r>
          </w:p>
        </w:tc>
      </w:tr>
      <w:tr>
        <w:tc>
          <w:tcPr>
            <w:tcW w:type="dxa" w:w="5040"/>
          </w:tcPr>
          <w:p>
            <w:r>
              <w:t>market_organization_memberships</w:t>
            </w:r>
          </w:p>
        </w:tc>
        <w:tc>
          <w:tcPr>
            <w:tcW w:type="dxa" w:w="5040"/>
          </w:tcPr>
          <w:p>
            <w:r>
              <w:t>Many-to-many market participation</w:t>
            </w:r>
          </w:p>
        </w:tc>
      </w:tr>
      <w:tr>
        <w:tc>
          <w:tcPr>
            <w:tcW w:type="dxa" w:w="5040"/>
          </w:tcPr>
          <w:p>
            <w:r>
              <w:t>contacts</w:t>
            </w:r>
          </w:p>
        </w:tc>
        <w:tc>
          <w:tcPr>
            <w:tcW w:type="dxa" w:w="5040"/>
          </w:tcPr>
          <w:p>
            <w:r>
              <w:t>Organization-associated people</w:t>
            </w:r>
          </w:p>
        </w:tc>
      </w:tr>
      <w:tr>
        <w:tc>
          <w:tcPr>
            <w:tcW w:type="dxa" w:w="5040"/>
          </w:tcPr>
          <w:p>
            <w:r>
              <w:t>relationships</w:t>
            </w:r>
          </w:p>
        </w:tc>
        <w:tc>
          <w:tcPr>
            <w:tcW w:type="dxa" w:w="5040"/>
          </w:tcPr>
          <w:p>
            <w:r>
              <w:t>Directed ecosystem and stakeholder relationships</w:t>
            </w:r>
          </w:p>
        </w:tc>
      </w:tr>
      <w:tr>
        <w:tc>
          <w:tcPr>
            <w:tcW w:type="dxa" w:w="5040"/>
          </w:tcPr>
          <w:p>
            <w:r>
              <w:t>opportunities</w:t>
            </w:r>
          </w:p>
        </w:tc>
        <w:tc>
          <w:tcPr>
            <w:tcW w:type="dxa" w:w="5040"/>
          </w:tcPr>
          <w:p>
            <w:r>
              <w:t>Bounded commercial opportunities</w:t>
            </w:r>
          </w:p>
        </w:tc>
      </w:tr>
      <w:tr>
        <w:tc>
          <w:tcPr>
            <w:tcW w:type="dxa" w:w="5040"/>
          </w:tcPr>
          <w:p>
            <w:r>
              <w:t>topics</w:t>
            </w:r>
          </w:p>
        </w:tc>
        <w:tc>
          <w:tcPr>
            <w:tcW w:type="dxa" w:w="5040"/>
          </w:tcPr>
          <w:p>
            <w:r>
              <w:t>Market and organization intelligence themes</w:t>
            </w:r>
          </w:p>
        </w:tc>
      </w:tr>
      <w:tr>
        <w:tc>
          <w:tcPr>
            <w:tcW w:type="dxa" w:w="5040"/>
          </w:tcPr>
          <w:p>
            <w:r>
              <w:t>sources</w:t>
            </w:r>
          </w:p>
        </w:tc>
        <w:tc>
          <w:tcPr>
            <w:tcW w:type="dxa" w:w="5040"/>
          </w:tcPr>
          <w:p>
            <w:r>
              <w:t>Attributable source records</w:t>
            </w:r>
          </w:p>
        </w:tc>
      </w:tr>
      <w:tr>
        <w:tc>
          <w:tcPr>
            <w:tcW w:type="dxa" w:w="5040"/>
          </w:tcPr>
          <w:p>
            <w:r>
              <w:t>intelligence_signals</w:t>
            </w:r>
          </w:p>
        </w:tc>
        <w:tc>
          <w:tcPr>
            <w:tcW w:type="dxa" w:w="5040"/>
          </w:tcPr>
          <w:p>
            <w:r>
              <w:t>Observed changes requiring review</w:t>
            </w:r>
          </w:p>
        </w:tc>
      </w:tr>
      <w:tr>
        <w:tc>
          <w:tcPr>
            <w:tcW w:type="dxa" w:w="5040"/>
          </w:tcPr>
          <w:p>
            <w:r>
              <w:t>evidence</w:t>
            </w:r>
          </w:p>
        </w:tc>
        <w:tc>
          <w:tcPr>
            <w:tcW w:type="dxa" w:w="5040"/>
          </w:tcPr>
          <w:p>
            <w:r>
              <w:t>Classified evidence records</w:t>
            </w:r>
          </w:p>
        </w:tc>
      </w:tr>
      <w:tr>
        <w:tc>
          <w:tcPr>
            <w:tcW w:type="dxa" w:w="5040"/>
          </w:tcPr>
          <w:p>
            <w:r>
              <w:t>evidence_links</w:t>
            </w:r>
          </w:p>
        </w:tc>
        <w:tc>
          <w:tcPr>
            <w:tcW w:type="dxa" w:w="5040"/>
          </w:tcPr>
          <w:p>
            <w:r>
              <w:t>Evidence-to-subject linkage</w:t>
            </w:r>
          </w:p>
        </w:tc>
      </w:tr>
      <w:tr>
        <w:tc>
          <w:tcPr>
            <w:tcW w:type="dxa" w:w="5040"/>
          </w:tcPr>
          <w:p>
            <w:r>
              <w:t>assessments</w:t>
            </w:r>
          </w:p>
        </w:tc>
        <w:tc>
          <w:tcPr>
            <w:tcW w:type="dxa" w:w="5040"/>
          </w:tcPr>
          <w:p>
            <w:r>
              <w:t>Bounded reviews and determinations</w:t>
            </w:r>
          </w:p>
        </w:tc>
      </w:tr>
      <w:tr>
        <w:tc>
          <w:tcPr>
            <w:tcW w:type="dxa" w:w="5040"/>
          </w:tcPr>
          <w:p>
            <w:r>
              <w:t>assessment_evidence</w:t>
            </w:r>
          </w:p>
        </w:tc>
        <w:tc>
          <w:tcPr>
            <w:tcW w:type="dxa" w:w="5040"/>
          </w:tcPr>
          <w:p>
            <w:r>
              <w:t>Assessment-to-evidence linkage</w:t>
            </w:r>
          </w:p>
        </w:tc>
      </w:tr>
      <w:tr>
        <w:tc>
          <w:tcPr>
            <w:tcW w:type="dxa" w:w="5040"/>
          </w:tcPr>
          <w:p>
            <w:r>
              <w:t>scorecards</w:t>
            </w:r>
          </w:p>
        </w:tc>
        <w:tc>
          <w:tcPr>
            <w:tcW w:type="dxa" w:w="5040"/>
          </w:tcPr>
          <w:p>
            <w:r>
              <w:t>Versioned scoring records</w:t>
            </w:r>
          </w:p>
        </w:tc>
      </w:tr>
      <w:tr>
        <w:tc>
          <w:tcPr>
            <w:tcW w:type="dxa" w:w="5040"/>
          </w:tcPr>
          <w:p>
            <w:r>
              <w:t>scorecard_evidence</w:t>
            </w:r>
          </w:p>
        </w:tc>
        <w:tc>
          <w:tcPr>
            <w:tcW w:type="dxa" w:w="5040"/>
          </w:tcPr>
          <w:p>
            <w:r>
              <w:t>Scorecard evidence linkage</w:t>
            </w:r>
          </w:p>
        </w:tc>
      </w:tr>
      <w:tr>
        <w:tc>
          <w:tcPr>
            <w:tcW w:type="dxa" w:w="5040"/>
          </w:tcPr>
          <w:p>
            <w:r>
              <w:t>assumptions</w:t>
            </w:r>
          </w:p>
        </w:tc>
        <w:tc>
          <w:tcPr>
            <w:tcW w:type="dxa" w:w="5040"/>
          </w:tcPr>
          <w:p>
            <w:r>
              <w:t>Explicit unverified propositions</w:t>
            </w:r>
          </w:p>
        </w:tc>
      </w:tr>
      <w:tr>
        <w:tc>
          <w:tcPr>
            <w:tcW w:type="dxa" w:w="5040"/>
          </w:tcPr>
          <w:p>
            <w:r>
              <w:t>risks</w:t>
            </w:r>
          </w:p>
        </w:tc>
        <w:tc>
          <w:tcPr>
            <w:tcW w:type="dxa" w:w="5040"/>
          </w:tcPr>
          <w:p>
            <w:r>
              <w:t>Commercial and organizational risks</w:t>
            </w:r>
          </w:p>
        </w:tc>
      </w:tr>
      <w:tr>
        <w:tc>
          <w:tcPr>
            <w:tcW w:type="dxa" w:w="5040"/>
          </w:tcPr>
          <w:p>
            <w:r>
              <w:t>actions</w:t>
            </w:r>
          </w:p>
        </w:tc>
        <w:tc>
          <w:tcPr>
            <w:tcW w:type="dxa" w:w="5040"/>
          </w:tcPr>
          <w:p>
            <w:r>
              <w:t>Next justified work</w:t>
            </w:r>
          </w:p>
        </w:tc>
      </w:tr>
      <w:tr>
        <w:tc>
          <w:tcPr>
            <w:tcW w:type="dxa" w:w="5040"/>
          </w:tcPr>
          <w:p>
            <w:r>
              <w:t>lifecycle_events</w:t>
            </w:r>
          </w:p>
        </w:tc>
        <w:tc>
          <w:tcPr>
            <w:tcW w:type="dxa" w:w="5040"/>
          </w:tcPr>
          <w:p>
            <w:r>
              <w:t>Append-only state history</w:t>
            </w:r>
          </w:p>
        </w:tc>
      </w:tr>
      <w:tr>
        <w:tc>
          <w:tcPr>
            <w:tcW w:type="dxa" w:w="5040"/>
          </w:tcPr>
          <w:p>
            <w:r>
              <w:t>registry_audit_log</w:t>
            </w:r>
          </w:p>
        </w:tc>
        <w:tc>
          <w:tcPr>
            <w:tcW w:type="dxa" w:w="5040"/>
          </w:tcPr>
          <w:p>
            <w:r>
              <w:t>Domain-level change record</w:t>
            </w:r>
          </w:p>
        </w:tc>
      </w:tr>
    </w:tbl>
    <w:p>
      <w:pPr>
        <w:pStyle w:val="Heading1"/>
      </w:pPr>
      <w:r>
        <w:t>6. Integrity Rules</w:t>
      </w:r>
    </w:p>
    <w:p>
      <w:pPr>
        <w:pStyle w:val="ListBullet"/>
      </w:pPr>
      <w:r>
        <w:t>Every externally tracked entity carries a unique COF ID.</w:t>
      </w:r>
    </w:p>
    <w:p>
      <w:pPr>
        <w:pStyle w:val="ListBullet"/>
      </w:pPr>
      <w:r>
        <w:t>Markets and organizations are linked through an explicit many-to-many membership table.</w:t>
      </w:r>
    </w:p>
    <w:p>
      <w:pPr>
        <w:pStyle w:val="ListBullet"/>
      </w:pPr>
      <w:r>
        <w:t>Foreign keys are enforced at every connection.</w:t>
      </w:r>
    </w:p>
    <w:p>
      <w:pPr>
        <w:pStyle w:val="ListBullet"/>
      </w:pPr>
      <w:r>
        <w:t>Evidence cannot exist without a Source.</w:t>
      </w:r>
    </w:p>
    <w:p>
      <w:pPr>
        <w:pStyle w:val="ListBullet"/>
      </w:pPr>
      <w:r>
        <w:t>Approved or historical scorecards cannot be modified or deleted.</w:t>
      </w:r>
    </w:p>
    <w:p>
      <w:pPr>
        <w:pStyle w:val="ListBullet"/>
      </w:pPr>
      <w:r>
        <w:t>Assessments and evidence cannot be deleted.</w:t>
      </w:r>
    </w:p>
    <w:p>
      <w:pPr>
        <w:pStyle w:val="ListBullet"/>
      </w:pPr>
      <w:r>
        <w:t>Lifecycle Events are append-only.</w:t>
      </w:r>
    </w:p>
    <w:p>
      <w:pPr>
        <w:pStyle w:val="ListBullet"/>
      </w:pPr>
      <w:r>
        <w:t>Bulk exchange is delegated to AOS-180 and must preserve COF IDs and relationships.</w:t>
      </w:r>
    </w:p>
    <w:p>
      <w:pPr>
        <w:pStyle w:val="ListBullet"/>
      </w:pPr>
      <w:r>
        <w:t>AI-generated signals remain marked until human review.</w:t>
      </w:r>
    </w:p>
    <w:p>
      <w:pPr>
        <w:pStyle w:val="Heading1"/>
      </w:pPr>
      <w:r>
        <w:t>7. COF Identifier Service</w:t>
      </w:r>
    </w:p>
    <w:p>
      <w:r>
        <w:t>CIR-002 stores counters by entity type and calendar year. Identifiers follow the CIR-001 patterns, including COF-MKT, COF-ORG, COF-MEM, COF-CON, COF-REL, COF-OPP, COF-TOP, COF-SIG, COF-EVD, COF-AST, COF-SCR, COF-ASM, COF-RSK, COF-ACT, and COF-LCE.</w:t>
      </w:r>
    </w:p>
    <w:p>
      <w:pPr>
        <w:pStyle w:val="Heading1"/>
      </w:pPr>
      <w:r>
        <w:t>8. Historical Preservation</w:t>
      </w:r>
    </w:p>
    <w:p>
      <w:r>
        <w:t>Reassessment creates new Assessment and Scorecard records. Approved records remain immutable and can be linked through supersedes identifiers. Lifecycle events preserve state transitions so current state can be reconstructed from history.</w:t>
      </w:r>
    </w:p>
    <w:p>
      <w:pPr>
        <w:pStyle w:val="Heading1"/>
      </w:pPr>
      <w:r>
        <w:t>9. CPS Energy Proof Case</w:t>
      </w:r>
    </w:p>
    <w:p>
      <w:r>
        <w:t>The supplied seed creates COF-MKT-2026-001, COF-ORG-2026-001 for CPS Energy, a market membership, an initial organization scorecard, an open action, and an append-only lifecycle event. The organization_profile read model returns the current organization, markets, historical scorecards, and open actions.</w:t>
      </w:r>
    </w:p>
    <w:p>
      <w:pPr>
        <w:pStyle w:val="Heading1"/>
      </w:pPr>
      <w:r>
        <w:t>10. Database Health Contract</w:t>
      </w:r>
    </w:p>
    <w:p>
      <w:pPr>
        <w:pStyle w:val="ListBullet"/>
      </w:pPr>
      <w:r>
        <w:t>Schema version equals the supported application version.</w:t>
      </w:r>
    </w:p>
    <w:p>
      <w:pPr>
        <w:pStyle w:val="ListBullet"/>
      </w:pPr>
      <w:r>
        <w:t>PRAGMA foreign_key_check returns no violations.</w:t>
      </w:r>
    </w:p>
    <w:p>
      <w:pPr>
        <w:pStyle w:val="ListBullet"/>
      </w:pPr>
      <w:r>
        <w:t>PRAGMA integrity_check returns ok.</w:t>
      </w:r>
    </w:p>
    <w:p>
      <w:pPr>
        <w:pStyle w:val="ListBullet"/>
      </w:pPr>
      <w:r>
        <w:t>The database reports HEALTHY only when all three conditions pass.</w:t>
      </w:r>
    </w:p>
    <w:p>
      <w:pPr>
        <w:pStyle w:val="ListBullet"/>
      </w:pPr>
      <w:r>
        <w:t>All SQLite connections are explicitly closed by the registry database component.</w:t>
      </w:r>
    </w:p>
    <w:p>
      <w:pPr>
        <w:pStyle w:val="Heading1"/>
      </w:pPr>
      <w:r>
        <w:t>11. Verification Requirements</w:t>
      </w:r>
    </w:p>
    <w:tbl>
      <w:tblPr>
        <w:tblStyle w:val="TableGrid"/>
        <w:tblW w:type="auto" w:w="0"/>
        <w:tblLook w:firstColumn="1" w:firstRow="1" w:lastColumn="0" w:lastRow="0" w:noHBand="0" w:noVBand="1" w:val="04A0"/>
      </w:tblPr>
      <w:tblGrid>
        <w:gridCol w:w="5040"/>
        <w:gridCol w:w="5040"/>
      </w:tblGrid>
      <w:tr>
        <w:tc>
          <w:tcPr>
            <w:tcW w:type="dxa" w:w="5040"/>
          </w:tcPr>
          <w:p>
            <w:r>
              <w:t>ID</w:t>
            </w:r>
          </w:p>
        </w:tc>
        <w:tc>
          <w:tcPr>
            <w:tcW w:type="dxa" w:w="5040"/>
          </w:tcPr>
          <w:p>
            <w:r>
              <w:t>Requirement</w:t>
            </w:r>
          </w:p>
        </w:tc>
      </w:tr>
      <w:tr>
        <w:tc>
          <w:tcPr>
            <w:tcW w:type="dxa" w:w="5040"/>
          </w:tcPr>
          <w:p>
            <w:r>
              <w:t>CIR-002-V01</w:t>
            </w:r>
          </w:p>
        </w:tc>
        <w:tc>
          <w:tcPr>
            <w:tcW w:type="dxa" w:w="5040"/>
          </w:tcPr>
          <w:p>
            <w:r>
              <w:t>Schema initializes without error.</w:t>
            </w:r>
          </w:p>
        </w:tc>
      </w:tr>
      <w:tr>
        <w:tc>
          <w:tcPr>
            <w:tcW w:type="dxa" w:w="5040"/>
          </w:tcPr>
          <w:p>
            <w:r>
              <w:t>CIR-002-V02</w:t>
            </w:r>
          </w:p>
        </w:tc>
        <w:tc>
          <w:tcPr>
            <w:tcW w:type="dxa" w:w="5040"/>
          </w:tcPr>
          <w:p>
            <w:r>
              <w:t>Foreign-key and integrity checks pass.</w:t>
            </w:r>
          </w:p>
        </w:tc>
      </w:tr>
      <w:tr>
        <w:tc>
          <w:tcPr>
            <w:tcW w:type="dxa" w:w="5040"/>
          </w:tcPr>
          <w:p>
            <w:r>
              <w:t>CIR-002-V03</w:t>
            </w:r>
          </w:p>
        </w:tc>
        <w:tc>
          <w:tcPr>
            <w:tcW w:type="dxa" w:w="5040"/>
          </w:tcPr>
          <w:p>
            <w:r>
              <w:t>COF IDs increment deterministically.</w:t>
            </w:r>
          </w:p>
        </w:tc>
      </w:tr>
      <w:tr>
        <w:tc>
          <w:tcPr>
            <w:tcW w:type="dxa" w:w="5040"/>
          </w:tcPr>
          <w:p>
            <w:r>
              <w:t>CIR-002-V04</w:t>
            </w:r>
          </w:p>
        </w:tc>
        <w:tc>
          <w:tcPr>
            <w:tcW w:type="dxa" w:w="5040"/>
          </w:tcPr>
          <w:p>
            <w:r>
              <w:t>CPS Energy can be stored and reconstructed.</w:t>
            </w:r>
          </w:p>
        </w:tc>
      </w:tr>
      <w:tr>
        <w:tc>
          <w:tcPr>
            <w:tcW w:type="dxa" w:w="5040"/>
          </w:tcPr>
          <w:p>
            <w:r>
              <w:t>CIR-002-V05</w:t>
            </w:r>
          </w:p>
        </w:tc>
        <w:tc>
          <w:tcPr>
            <w:tcW w:type="dxa" w:w="5040"/>
          </w:tcPr>
          <w:p>
            <w:r>
              <w:t>One organization can belong to multiple markets.</w:t>
            </w:r>
          </w:p>
        </w:tc>
      </w:tr>
      <w:tr>
        <w:tc>
          <w:tcPr>
            <w:tcW w:type="dxa" w:w="5040"/>
          </w:tcPr>
          <w:p>
            <w:r>
              <w:t>CIR-002-V06</w:t>
            </w:r>
          </w:p>
        </w:tc>
        <w:tc>
          <w:tcPr>
            <w:tcW w:type="dxa" w:w="5040"/>
          </w:tcPr>
          <w:p>
            <w:r>
              <w:t>Duplicate COF IDs are rejected.</w:t>
            </w:r>
          </w:p>
        </w:tc>
      </w:tr>
      <w:tr>
        <w:tc>
          <w:tcPr>
            <w:tcW w:type="dxa" w:w="5040"/>
          </w:tcPr>
          <w:p>
            <w:r>
              <w:t>CIR-002-V07</w:t>
            </w:r>
          </w:p>
        </w:tc>
        <w:tc>
          <w:tcPr>
            <w:tcW w:type="dxa" w:w="5040"/>
          </w:tcPr>
          <w:p>
            <w:r>
              <w:t>Broken foreign keys are rejected.</w:t>
            </w:r>
          </w:p>
        </w:tc>
      </w:tr>
      <w:tr>
        <w:tc>
          <w:tcPr>
            <w:tcW w:type="dxa" w:w="5040"/>
          </w:tcPr>
          <w:p>
            <w:r>
              <w:t>CIR-002-V08</w:t>
            </w:r>
          </w:p>
        </w:tc>
        <w:tc>
          <w:tcPr>
            <w:tcW w:type="dxa" w:w="5040"/>
          </w:tcPr>
          <w:p>
            <w:r>
              <w:t>Approved scorecards are immutable.</w:t>
            </w:r>
          </w:p>
        </w:tc>
      </w:tr>
      <w:tr>
        <w:tc>
          <w:tcPr>
            <w:tcW w:type="dxa" w:w="5040"/>
          </w:tcPr>
          <w:p>
            <w:r>
              <w:t>CIR-002-V09</w:t>
            </w:r>
          </w:p>
        </w:tc>
        <w:tc>
          <w:tcPr>
            <w:tcW w:type="dxa" w:w="5040"/>
          </w:tcPr>
          <w:p>
            <w:r>
              <w:t>Evidence requires an attributable Source.</w:t>
            </w:r>
          </w:p>
        </w:tc>
      </w:tr>
      <w:tr>
        <w:tc>
          <w:tcPr>
            <w:tcW w:type="dxa" w:w="5040"/>
          </w:tcPr>
          <w:p>
            <w:r>
              <w:t>CIR-002-V10</w:t>
            </w:r>
          </w:p>
        </w:tc>
        <w:tc>
          <w:tcPr>
            <w:tcW w:type="dxa" w:w="5040"/>
          </w:tcPr>
          <w:p>
            <w:r>
              <w:t>Lifecycle Events are append-only.</w:t>
            </w:r>
          </w:p>
        </w:tc>
      </w:tr>
    </w:tbl>
    <w:p>
      <w:pPr>
        <w:pStyle w:val="Heading1"/>
      </w:pPr>
      <w:r>
        <w:t>12. PostgreSQL Migration Readiness</w:t>
      </w:r>
    </w:p>
    <w:p>
      <w:r>
        <w:t>The business model uses application-generated UUID text identifiers, normalized domain fields, explicit join tables, JSON stored as text at the persistence boundary, and database-independent service methods. SQLite-specific pragmas and triggers SHALL be replaced with equivalent PostgreSQL configuration and constraints during scale-out.</w:t>
      </w:r>
    </w:p>
    <w:p>
      <w:pPr>
        <w:pStyle w:val="Heading1"/>
      </w:pPr>
      <w:r>
        <w:t>13. Known Limitations</w:t>
      </w:r>
    </w:p>
    <w:p>
      <w:pPr>
        <w:pStyle w:val="ListBullet"/>
      </w:pPr>
      <w:r>
        <w:t>The MVP is single-node and optimized for local or small-team deployment.</w:t>
      </w:r>
    </w:p>
    <w:p>
      <w:pPr>
        <w:pStyle w:val="ListBullet"/>
      </w:pPr>
      <w:r>
        <w:t>Polymorphic subject references are validated by the service layer rather than SQLite foreign keys.</w:t>
      </w:r>
    </w:p>
    <w:p>
      <w:pPr>
        <w:pStyle w:val="ListBullet"/>
      </w:pPr>
      <w:r>
        <w:t>Scoring formulas are stored, not calculated by CIR-002.</w:t>
      </w:r>
    </w:p>
    <w:p>
      <w:pPr>
        <w:pStyle w:val="ListBullet"/>
      </w:pPr>
      <w:r>
        <w:t>Authentication and row-level authorization are not included.</w:t>
      </w:r>
    </w:p>
    <w:p>
      <w:pPr>
        <w:pStyle w:val="ListBullet"/>
      </w:pPr>
      <w:r>
        <w:t>Search indexing, AI collection, and web dashboards are not included.</w:t>
      </w:r>
    </w:p>
    <w:p>
      <w:pPr>
        <w:pStyle w:val="ListBullet"/>
      </w:pPr>
      <w:r>
        <w:t>Database encryption requires deployment-level controls or a future encrypted database option.</w:t>
      </w:r>
    </w:p>
    <w:p>
      <w:pPr>
        <w:pStyle w:val="Heading1"/>
      </w:pPr>
      <w:r>
        <w:t>14. Acceptance</w:t>
      </w:r>
    </w:p>
    <w:p>
      <w:r>
        <w:t>CIR-002 is accepted when the verification suite passes, the CPS Energy seed can be loaded, database health reports HEALTHY, and all tests complete without unclosed SQLite connection warnings.</w:t>
      </w:r>
    </w:p>
    <w:p/>
    <w:p>
      <w:pPr>
        <w:jc w:val="center"/>
      </w:pPr>
      <w:r>
        <w:rPr>
          <w:b/>
          <w:color w:val="1F4E79"/>
        </w:rPr>
        <w:t>⚒ Strike true. Build clean. Verify everything.</w:t>
        <w:br/>
        <w:t>AI augments judgment. It does not replace evidence. Stay disciplined.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Ubuntu Sans" w:hAnsi="Ubuntu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Ubuntu Sans" w:hAnsi="Ubuntu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Ubuntu Sans" w:hAnsi="Ubuntu San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Ubuntu Sans" w:hAnsi="Ubuntu Sans"/>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