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b/>
          <w:color w:val="2B4A68"/>
          <w:sz w:val="28"/>
        </w:rPr>
        <w:t>COF-101A-MA-2026-001</w:t>
      </w:r>
    </w:p>
    <w:p>
      <w:pPr>
        <w:pStyle w:val="Title"/>
        <w:spacing w:after="80"/>
        <w:jc w:val="center"/>
      </w:pPr>
      <w:r>
        <w:t>Electric Cooperative Infrastructure Intelligence Market Assessment</w:t>
      </w:r>
    </w:p>
    <w:p>
      <w:pPr>
        <w:pStyle w:val="Subtitle"/>
        <w:spacing w:after="80"/>
        <w:jc w:val="center"/>
      </w:pPr>
      <w:r>
        <w:t>Commercial Operating Framework | Market Assessment Procedure</w:t>
      </w:r>
    </w:p>
    <w:p>
      <w:pPr>
        <w:spacing w:after="80"/>
      </w:pP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80" w:type="dxa"/>
              <w:bottom w:w="80" w:type="dxa"/>
              <w:end w:w="80" w:type="dxa"/>
            </w:tcMar>
            <w:shd w:fill="1F4E78"/>
            <w:shd w:fill="D9E7F2"/>
          </w:tcPr>
          <w:p>
            <w:r>
              <w:rPr>
                <w:b/>
                <w:color w:val="18334F"/>
              </w:rPr>
              <w:t>Assessment ID</w:t>
            </w:r>
          </w:p>
        </w:tc>
        <w:tc>
          <w:tcPr>
            <w:tcW w:type="dxa" w:w="5040"/>
            <w:vAlign w:val="center"/>
            <w:tcMar>
              <w:top w:w="80" w:type="dxa"/>
              <w:start w:w="80" w:type="dxa"/>
              <w:bottom w:w="80" w:type="dxa"/>
              <w:end w:w="80" w:type="dxa"/>
            </w:tcMar>
            <w:shd w:fill="1F4E78"/>
          </w:tcPr>
          <w:p>
            <w:r>
              <w:t>COF-101A-MA-2026-001</w:t>
            </w:r>
          </w:p>
        </w:tc>
      </w:tr>
      <w:tr>
        <w:tc>
          <w:tcPr>
            <w:tcW w:type="dxa" w:w="5040"/>
            <w:vAlign w:val="center"/>
            <w:tcMar>
              <w:top w:w="80" w:type="dxa"/>
              <w:start w:w="80" w:type="dxa"/>
              <w:bottom w:w="80" w:type="dxa"/>
              <w:end w:w="80" w:type="dxa"/>
            </w:tcMar>
            <w:shd w:fill="D9E7F2"/>
          </w:tcPr>
          <w:p>
            <w:r>
              <w:rPr>
                <w:b/>
                <w:color w:val="18334F"/>
              </w:rPr>
              <w:t>Market</w:t>
            </w:r>
          </w:p>
        </w:tc>
        <w:tc>
          <w:tcPr>
            <w:tcW w:type="dxa" w:w="5040"/>
            <w:vAlign w:val="center"/>
            <w:tcMar>
              <w:top w:w="80" w:type="dxa"/>
              <w:start w:w="80" w:type="dxa"/>
              <w:bottom w:w="80" w:type="dxa"/>
              <w:end w:w="80" w:type="dxa"/>
            </w:tcMar>
          </w:tcPr>
          <w:p>
            <w:r>
              <w:t>Electric Cooperative Infrastructure Intelligence</w:t>
            </w:r>
          </w:p>
        </w:tc>
      </w:tr>
      <w:tr>
        <w:tc>
          <w:tcPr>
            <w:tcW w:type="dxa" w:w="5040"/>
            <w:vAlign w:val="center"/>
            <w:tcMar>
              <w:top w:w="80" w:type="dxa"/>
              <w:start w:w="80" w:type="dxa"/>
              <w:bottom w:w="80" w:type="dxa"/>
              <w:end w:w="80" w:type="dxa"/>
            </w:tcMar>
            <w:shd w:fill="EAF1F7"/>
            <w:shd w:fill="D9E7F2"/>
          </w:tcPr>
          <w:p>
            <w:r>
              <w:rPr>
                <w:b/>
                <w:color w:val="18334F"/>
              </w:rPr>
              <w:t>Geographic Focus</w:t>
            </w:r>
          </w:p>
        </w:tc>
        <w:tc>
          <w:tcPr>
            <w:tcW w:type="dxa" w:w="5040"/>
            <w:vAlign w:val="center"/>
            <w:tcMar>
              <w:top w:w="80" w:type="dxa"/>
              <w:start w:w="80" w:type="dxa"/>
              <w:bottom w:w="80" w:type="dxa"/>
              <w:end w:w="80" w:type="dxa"/>
            </w:tcMar>
            <w:shd w:fill="EAF1F7"/>
          </w:tcPr>
          <w:p>
            <w:r>
              <w:t>Texas and adjacent CFC District 10 states</w:t>
            </w:r>
          </w:p>
        </w:tc>
      </w:tr>
      <w:tr>
        <w:tc>
          <w:tcPr>
            <w:tcW w:type="dxa" w:w="5040"/>
            <w:vAlign w:val="center"/>
            <w:tcMar>
              <w:top w:w="80" w:type="dxa"/>
              <w:start w:w="80" w:type="dxa"/>
              <w:bottom w:w="80" w:type="dxa"/>
              <w:end w:w="80" w:type="dxa"/>
            </w:tcMar>
            <w:shd w:fill="D9E7F2"/>
          </w:tcPr>
          <w:p>
            <w:r>
              <w:rPr>
                <w:b/>
                <w:color w:val="18334F"/>
              </w:rPr>
              <w:t>Lifecycle State</w:t>
            </w:r>
          </w:p>
        </w:tc>
        <w:tc>
          <w:tcPr>
            <w:tcW w:type="dxa" w:w="5040"/>
            <w:vAlign w:val="center"/>
            <w:tcMar>
              <w:top w:w="80" w:type="dxa"/>
              <w:start w:w="80" w:type="dxa"/>
              <w:bottom w:w="80" w:type="dxa"/>
              <w:end w:w="80" w:type="dxa"/>
            </w:tcMar>
          </w:tcPr>
          <w:p>
            <w:r>
              <w:t>Investigating</w:t>
            </w:r>
          </w:p>
        </w:tc>
      </w:tr>
      <w:tr>
        <w:tc>
          <w:tcPr>
            <w:tcW w:type="dxa" w:w="5040"/>
            <w:vAlign w:val="center"/>
            <w:tcMar>
              <w:top w:w="80" w:type="dxa"/>
              <w:start w:w="80" w:type="dxa"/>
              <w:bottom w:w="80" w:type="dxa"/>
              <w:end w:w="80" w:type="dxa"/>
            </w:tcMar>
            <w:shd w:fill="EAF1F7"/>
            <w:shd w:fill="D9E7F2"/>
          </w:tcPr>
          <w:p>
            <w:r>
              <w:rPr>
                <w:b/>
                <w:color w:val="18334F"/>
              </w:rPr>
              <w:t>Preliminary Outcome</w:t>
            </w:r>
          </w:p>
        </w:tc>
        <w:tc>
          <w:tcPr>
            <w:tcW w:type="dxa" w:w="5040"/>
            <w:vAlign w:val="center"/>
            <w:tcMar>
              <w:top w:w="80" w:type="dxa"/>
              <w:start w:w="80" w:type="dxa"/>
              <w:bottom w:w="80" w:type="dxa"/>
              <w:end w:w="80" w:type="dxa"/>
            </w:tcMar>
            <w:shd w:fill="EAF1F7"/>
          </w:tcPr>
          <w:p>
            <w:r>
              <w:t>VALIDATE</w:t>
            </w:r>
          </w:p>
        </w:tc>
      </w:tr>
      <w:tr>
        <w:tc>
          <w:tcPr>
            <w:tcW w:type="dxa" w:w="5040"/>
            <w:vAlign w:val="center"/>
            <w:tcMar>
              <w:top w:w="80" w:type="dxa"/>
              <w:start w:w="80" w:type="dxa"/>
              <w:bottom w:w="80" w:type="dxa"/>
              <w:end w:w="80" w:type="dxa"/>
            </w:tcMar>
            <w:shd w:fill="D9E7F2"/>
          </w:tcPr>
          <w:p>
            <w:r>
              <w:rPr>
                <w:b/>
                <w:color w:val="18334F"/>
              </w:rPr>
              <w:t>Assessment Date</w:t>
            </w:r>
          </w:p>
        </w:tc>
        <w:tc>
          <w:tcPr>
            <w:tcW w:type="dxa" w:w="5040"/>
            <w:vAlign w:val="center"/>
            <w:tcMar>
              <w:top w:w="80" w:type="dxa"/>
              <w:start w:w="80" w:type="dxa"/>
              <w:bottom w:w="80" w:type="dxa"/>
              <w:end w:w="80" w:type="dxa"/>
            </w:tcMar>
          </w:tcPr>
          <w:p>
            <w:r>
              <w:t>August 2, 2026</w:t>
            </w:r>
          </w:p>
        </w:tc>
      </w:tr>
      <w:tr>
        <w:tc>
          <w:tcPr>
            <w:tcW w:type="dxa" w:w="5040"/>
            <w:vAlign w:val="center"/>
            <w:tcMar>
              <w:top w:w="80" w:type="dxa"/>
              <w:start w:w="80" w:type="dxa"/>
              <w:bottom w:w="80" w:type="dxa"/>
              <w:end w:w="80" w:type="dxa"/>
            </w:tcMar>
            <w:shd w:fill="EAF1F7"/>
            <w:shd w:fill="D9E7F2"/>
          </w:tcPr>
          <w:p>
            <w:r>
              <w:rPr>
                <w:b/>
                <w:color w:val="18334F"/>
              </w:rPr>
              <w:t>Version</w:t>
            </w:r>
          </w:p>
        </w:tc>
        <w:tc>
          <w:tcPr>
            <w:tcW w:type="dxa" w:w="5040"/>
            <w:vAlign w:val="center"/>
            <w:tcMar>
              <w:top w:w="80" w:type="dxa"/>
              <w:start w:w="80" w:type="dxa"/>
              <w:bottom w:w="80" w:type="dxa"/>
              <w:end w:w="80" w:type="dxa"/>
            </w:tcMar>
            <w:shd w:fill="EAF1F7"/>
          </w:tcPr>
          <w:p>
            <w:r>
              <w:t>1.0 Draft</w:t>
            </w:r>
          </w:p>
        </w:tc>
      </w:tr>
    </w:tbl>
    <w:p>
      <w:pPr>
        <w:spacing w:after="80"/>
      </w:pP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40" w:type="dxa"/>
              <w:bottom w:w="120" w:type="dxa"/>
              <w:end w:w="140" w:type="dxa"/>
            </w:tcMar>
          </w:tcPr>
          <w:p>
            <w:r>
              <w:rPr>
                <w:b/>
                <w:color w:val="18334F"/>
              </w:rPr>
              <w:t>Assessment status</w:t>
              <w:br/>
            </w:r>
            <w:r>
              <w:t>This assessment supports a VALIDATE decision. The market appears substantial, strategically aligned, and structurally attractive, but direct customer evidence, willingness-to-pay evidence, procurement evidence, and a pilot pathway remain insufficient for a final Pursue decision.</w:t>
            </w:r>
          </w:p>
        </w:tc>
      </w:tr>
    </w:tbl>
    <w:p>
      <w:pPr>
        <w:spacing w:after="80"/>
      </w:pPr>
    </w:p>
    <w:p>
      <w:pPr>
        <w:spacing w:after="80"/>
      </w:pPr>
      <w:r>
        <w:br w:type="page"/>
      </w:r>
    </w:p>
    <w:p>
      <w:pPr>
        <w:pStyle w:val="Heading1"/>
        <w:spacing w:after="80"/>
      </w:pPr>
      <w:r>
        <w:t>Executive Summary</w:t>
      </w:r>
    </w:p>
    <w:p>
      <w:pPr>
        <w:spacing w:after="80"/>
      </w:pPr>
      <w:r>
        <w:rPr>
          <w:b/>
        </w:rPr>
        <w:t xml:space="preserve">Decision: VALIDATE. </w:t>
      </w:r>
      <w:r>
        <w:t>The electric cooperative market is large, bounded, nationally organized, and responsible for a disproportionately extensive rural infrastructure footprint. NRECA reports 890 rural utility members, service to approximately 42 million people, more than 23 million service locations, and ownership or maintenance of 2.7 million miles of distribution line. Cooperatives operate at much lower customer density and revenue per mile than the rest of the electric utility industry, creating persistent pressure to improve field efficiency, documentation, maintenance prioritization, capital planning, and operational visibility.</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18334F"/>
              </w:rPr>
              <w:t>Core finding</w:t>
              <w:br/>
            </w:r>
            <w:r>
              <w:t>The market is credible enough to justify focused validation, but not yet mature enough for product build-out or broad sales outreach. The next justified action is a bounded customer-discovery program with Texas electric cooperatives and ecosystem participants.</w:t>
            </w:r>
          </w:p>
        </w:tc>
      </w:tr>
    </w:tbl>
    <w:p>
      <w:pPr>
        <w:spacing w:after="80"/>
      </w:pP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Criterion</w:t>
            </w:r>
          </w:p>
        </w:tc>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Score</w:t>
            </w:r>
          </w:p>
        </w:tc>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Rationale</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Market Need</w:t>
            </w:r>
          </w:p>
        </w:tc>
        <w:tc>
          <w:tcPr>
            <w:tcW w:type="dxa" w:w="3360"/>
            <w:vAlign w:val="center"/>
            <w:tcMar>
              <w:top w:w="80" w:type="dxa"/>
              <w:start w:w="80" w:type="dxa"/>
              <w:bottom w:w="80" w:type="dxa"/>
              <w:end w:w="80" w:type="dxa"/>
            </w:tcMar>
          </w:tcPr>
          <w:p>
            <w:pPr>
              <w:spacing w:after="0"/>
            </w:pPr>
            <w:r>
              <w:rPr>
                <w:rFonts w:ascii="Noto Sans" w:hAnsi="Noto Sans" w:eastAsia="Noto Sans"/>
                <w:sz w:val="16"/>
              </w:rPr>
              <w:t>4</w:t>
            </w:r>
          </w:p>
        </w:tc>
        <w:tc>
          <w:tcPr>
            <w:tcW w:type="dxa" w:w="3360"/>
            <w:vAlign w:val="center"/>
            <w:tcMar>
              <w:top w:w="80" w:type="dxa"/>
              <w:start w:w="80" w:type="dxa"/>
              <w:bottom w:w="80" w:type="dxa"/>
              <w:end w:w="80" w:type="dxa"/>
            </w:tcMar>
          </w:tcPr>
          <w:p>
            <w:pPr>
              <w:spacing w:after="0"/>
            </w:pPr>
            <w:r>
              <w:rPr>
                <w:rFonts w:ascii="Noto Sans" w:hAnsi="Noto Sans" w:eastAsia="Noto Sans"/>
                <w:sz w:val="16"/>
              </w:rPr>
              <w:t>Strong structural pressure; direct pain evidence still needed</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Strategic Alignment</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5</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Strong fit with AnchorOS, AnchorFiber, S.P.A.T.I.A.L., and evidence-driven operations</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Differentiation</w:t>
            </w:r>
          </w:p>
        </w:tc>
        <w:tc>
          <w:tcPr>
            <w:tcW w:type="dxa" w:w="3360"/>
            <w:vAlign w:val="center"/>
            <w:tcMar>
              <w:top w:w="80" w:type="dxa"/>
              <w:start w:w="80" w:type="dxa"/>
              <w:bottom w:w="80" w:type="dxa"/>
              <w:end w:w="80" w:type="dxa"/>
            </w:tcMar>
          </w:tcPr>
          <w:p>
            <w:pPr>
              <w:spacing w:after="0"/>
            </w:pPr>
            <w:r>
              <w:rPr>
                <w:rFonts w:ascii="Noto Sans" w:hAnsi="Noto Sans" w:eastAsia="Noto Sans"/>
                <w:sz w:val="16"/>
              </w:rPr>
              <w:t>3</w:t>
            </w:r>
          </w:p>
        </w:tc>
        <w:tc>
          <w:tcPr>
            <w:tcW w:type="dxa" w:w="3360"/>
            <w:vAlign w:val="center"/>
            <w:tcMar>
              <w:top w:w="80" w:type="dxa"/>
              <w:start w:w="80" w:type="dxa"/>
              <w:bottom w:w="80" w:type="dxa"/>
              <w:end w:w="80" w:type="dxa"/>
            </w:tcMar>
          </w:tcPr>
          <w:p>
            <w:pPr>
              <w:spacing w:after="0"/>
            </w:pPr>
            <w:r>
              <w:rPr>
                <w:rFonts w:ascii="Noto Sans" w:hAnsi="Noto Sans" w:eastAsia="Noto Sans"/>
                <w:sz w:val="16"/>
              </w:rPr>
              <w:t>Potentially distinct; market-facing differentiation remains unproven</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Competitive Pressure</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3</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Accessible market but established utility vendors and integrators are likely</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Sales Complexity</w:t>
            </w:r>
          </w:p>
        </w:tc>
        <w:tc>
          <w:tcPr>
            <w:tcW w:type="dxa" w:w="3360"/>
            <w:vAlign w:val="center"/>
            <w:tcMar>
              <w:top w:w="80" w:type="dxa"/>
              <w:start w:w="80" w:type="dxa"/>
              <w:bottom w:w="80" w:type="dxa"/>
              <w:end w:w="80" w:type="dxa"/>
            </w:tcMar>
          </w:tcPr>
          <w:p>
            <w:pPr>
              <w:spacing w:after="0"/>
            </w:pPr>
            <w:r>
              <w:rPr>
                <w:rFonts w:ascii="Noto Sans" w:hAnsi="Noto Sans" w:eastAsia="Noto Sans"/>
                <w:sz w:val="16"/>
              </w:rPr>
              <w:t>2</w:t>
            </w:r>
          </w:p>
        </w:tc>
        <w:tc>
          <w:tcPr>
            <w:tcW w:type="dxa" w:w="3360"/>
            <w:vAlign w:val="center"/>
            <w:tcMar>
              <w:top w:w="80" w:type="dxa"/>
              <w:start w:w="80" w:type="dxa"/>
              <w:bottom w:w="80" w:type="dxa"/>
              <w:end w:w="80" w:type="dxa"/>
            </w:tcMar>
          </w:tcPr>
          <w:p>
            <w:pPr>
              <w:spacing w:after="0"/>
            </w:pPr>
            <w:r>
              <w:rPr>
                <w:rFonts w:ascii="Noto Sans" w:hAnsi="Noto Sans" w:eastAsia="Noto Sans"/>
                <w:sz w:val="16"/>
              </w:rPr>
              <w:t>Procurement, trust, integration, and references may slow entry</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Revenue Potential</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4</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Large identifiable market with recurring and assessment-based revenue potential</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Technical Readiness</w:t>
            </w:r>
          </w:p>
        </w:tc>
        <w:tc>
          <w:tcPr>
            <w:tcW w:type="dxa" w:w="3360"/>
            <w:vAlign w:val="center"/>
            <w:tcMar>
              <w:top w:w="80" w:type="dxa"/>
              <w:start w:w="80" w:type="dxa"/>
              <w:bottom w:w="80" w:type="dxa"/>
              <w:end w:w="80" w:type="dxa"/>
            </w:tcMar>
          </w:tcPr>
          <w:p>
            <w:pPr>
              <w:spacing w:after="0"/>
            </w:pPr>
            <w:r>
              <w:rPr>
                <w:rFonts w:ascii="Noto Sans" w:hAnsi="Noto Sans" w:eastAsia="Noto Sans"/>
                <w:sz w:val="16"/>
              </w:rPr>
              <w:t>3</w:t>
            </w:r>
          </w:p>
        </w:tc>
        <w:tc>
          <w:tcPr>
            <w:tcW w:type="dxa" w:w="3360"/>
            <w:vAlign w:val="center"/>
            <w:tcMar>
              <w:top w:w="80" w:type="dxa"/>
              <w:start w:w="80" w:type="dxa"/>
              <w:bottom w:w="80" w:type="dxa"/>
              <w:end w:w="80" w:type="dxa"/>
            </w:tcMar>
          </w:tcPr>
          <w:p>
            <w:pPr>
              <w:spacing w:after="0"/>
            </w:pPr>
            <w:r>
              <w:rPr>
                <w:rFonts w:ascii="Noto Sans" w:hAnsi="Noto Sans" w:eastAsia="Noto Sans"/>
                <w:sz w:val="16"/>
              </w:rPr>
              <w:t>Platform foundation exists; solution and integrations are not customer-validated</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Long-Term Strategic Value</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5</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High reuse, reference, ecosystem, and adjacent-market value</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Total</w:t>
            </w:r>
          </w:p>
        </w:tc>
        <w:tc>
          <w:tcPr>
            <w:tcW w:type="dxa" w:w="3360"/>
            <w:vAlign w:val="center"/>
            <w:tcMar>
              <w:top w:w="80" w:type="dxa"/>
              <w:start w:w="80" w:type="dxa"/>
              <w:bottom w:w="80" w:type="dxa"/>
              <w:end w:w="80" w:type="dxa"/>
            </w:tcMar>
          </w:tcPr>
          <w:p>
            <w:pPr>
              <w:spacing w:after="0"/>
            </w:pPr>
            <w:r>
              <w:rPr>
                <w:rFonts w:ascii="Noto Sans" w:hAnsi="Noto Sans" w:eastAsia="Noto Sans"/>
                <w:sz w:val="16"/>
              </w:rPr>
              <w:t>29/40</w:t>
            </w:r>
          </w:p>
        </w:tc>
        <w:tc>
          <w:tcPr>
            <w:tcW w:type="dxa" w:w="3360"/>
            <w:vAlign w:val="center"/>
            <w:tcMar>
              <w:top w:w="80" w:type="dxa"/>
              <w:start w:w="80" w:type="dxa"/>
              <w:bottom w:w="80" w:type="dxa"/>
              <w:end w:w="80" w:type="dxa"/>
            </w:tcMar>
          </w:tcPr>
          <w:p>
            <w:pPr>
              <w:spacing w:after="0"/>
            </w:pPr>
            <w:r>
              <w:rPr>
                <w:rFonts w:ascii="Noto Sans" w:hAnsi="Noto Sans" w:eastAsia="Noto Sans"/>
                <w:sz w:val="16"/>
              </w:rPr>
              <w:t>Preliminary decision band: VALIDATE</w:t>
            </w:r>
          </w:p>
        </w:tc>
      </w:tr>
    </w:tbl>
    <w:p>
      <w:pPr>
        <w:pStyle w:val="Heading1"/>
        <w:spacing w:after="80"/>
      </w:pPr>
      <w:r>
        <w:t>1. Market Definition</w:t>
      </w:r>
    </w:p>
    <w:p>
      <w:pPr>
        <w:spacing w:after="80"/>
      </w:pPr>
      <w:r>
        <w:rPr>
          <w:b/>
        </w:rPr>
        <w:t xml:space="preserve">Defined market: </w:t>
      </w:r>
      <w:r>
        <w:t>Member-owned electric distribution cooperatives in Texas and adjacent states that operate geographically dispersed electric infrastructure and are modernizing broadband, grid, field-service, or asset-information capabilities.</w:t>
      </w:r>
    </w:p>
    <w:tbl>
      <w:tblPr>
        <w:tblW w:type="auto" w:w="0"/>
        <w:jc w:val="center"/>
        <w:tblLayout w:type="autofit"/>
        <w:tblLook w:firstColumn="1" w:firstRow="1" w:lastColumn="0" w:lastRow="0" w:noHBand="0" w:noVBand="1" w:val="04A0"/>
      </w:tblPr>
      <w:tblGrid>
        <w:gridCol w:w="10080"/>
      </w:tblGrid>
      <w:tr>
        <w:tc>
          <w:tcPr>
            <w:tcW w:type="dxa" w:w="10080"/>
            <w:shd w:fill="EAF1F7"/>
            <w:tcMar>
              <w:top w:w="120" w:type="dxa"/>
              <w:start w:w="140" w:type="dxa"/>
              <w:bottom w:w="120" w:type="dxa"/>
              <w:end w:w="140" w:type="dxa"/>
            </w:tcMar>
          </w:tcPr>
          <w:p>
            <w:r>
              <w:rPr>
                <w:b/>
                <w:color w:val="18334F"/>
              </w:rPr>
              <w:t>Boundary discipline</w:t>
              <w:br/>
            </w:r>
            <w:r>
              <w:t>This assessment does not evaluate the entire utility sector. It excludes investor-owned utilities, municipal utilities, generation-only entities, and unrelated broadband providers except where they inform the cooperative ecosystem.</w:t>
            </w:r>
          </w:p>
        </w:tc>
      </w:tr>
    </w:tbl>
    <w:p>
      <w:pPr>
        <w:spacing w:after="80"/>
      </w:pPr>
    </w:p>
    <w:p>
      <w:pPr>
        <w:pStyle w:val="Heading2"/>
        <w:spacing w:after="80"/>
      </w:pPr>
      <w:r>
        <w:t>Industry or sector</w:t>
      </w:r>
    </w:p>
    <w:p>
      <w:pPr>
        <w:pStyle w:val="ListBullet"/>
        <w:spacing w:after="80"/>
      </w:pPr>
      <w:r>
        <w:t>Electric distribution cooperatives</w:t>
      </w:r>
    </w:p>
    <w:p>
      <w:pPr>
        <w:pStyle w:val="ListBullet"/>
        <w:spacing w:after="80"/>
      </w:pPr>
      <w:r>
        <w:t>Rural utility infrastructure</w:t>
      </w:r>
    </w:p>
    <w:p>
      <w:pPr>
        <w:pStyle w:val="ListBullet"/>
        <w:spacing w:after="80"/>
      </w:pPr>
      <w:r>
        <w:t>Cooperative broadband and telecommunications where applicable</w:t>
      </w:r>
    </w:p>
    <w:p>
      <w:pPr>
        <w:pStyle w:val="Heading2"/>
        <w:spacing w:after="80"/>
      </w:pPr>
      <w:r>
        <w:t>Primary customer organizations</w:t>
      </w:r>
    </w:p>
    <w:p>
      <w:pPr>
        <w:pStyle w:val="ListBullet"/>
        <w:spacing w:after="80"/>
      </w:pPr>
      <w:r>
        <w:t>Distribution cooperatives</w:t>
      </w:r>
    </w:p>
    <w:p>
      <w:pPr>
        <w:pStyle w:val="ListBullet"/>
        <w:spacing w:after="80"/>
      </w:pPr>
      <w:r>
        <w:t>Selected generation-and-transmission cooperatives as ecosystem participants</w:t>
      </w:r>
    </w:p>
    <w:p>
      <w:pPr>
        <w:pStyle w:val="ListBullet"/>
        <w:spacing w:after="80"/>
      </w:pPr>
      <w:r>
        <w:t>Statewide and national cooperative service organizations as channels or enablers</w:t>
      </w:r>
    </w:p>
    <w:p>
      <w:pPr>
        <w:pStyle w:val="Heading2"/>
        <w:spacing w:after="80"/>
      </w:pPr>
      <w:r>
        <w:t>Economic buyers and users</w:t>
      </w:r>
    </w:p>
    <w:p>
      <w:pPr>
        <w:pStyle w:val="ListBullet"/>
        <w:spacing w:after="80"/>
      </w:pPr>
      <w:r>
        <w:t>Chief executive and executive leadership</w:t>
      </w:r>
    </w:p>
    <w:p>
      <w:pPr>
        <w:pStyle w:val="ListBullet"/>
        <w:spacing w:after="80"/>
      </w:pPr>
      <w:r>
        <w:t>Engineering and operations leaders</w:t>
      </w:r>
    </w:p>
    <w:p>
      <w:pPr>
        <w:pStyle w:val="ListBullet"/>
        <w:spacing w:after="80"/>
      </w:pPr>
      <w:r>
        <w:t>GIS, asset-management, broadband, information technology, and field-service leaders</w:t>
      </w:r>
    </w:p>
    <w:p>
      <w:pPr>
        <w:pStyle w:val="ListBullet"/>
        <w:spacing w:after="80"/>
      </w:pPr>
      <w:r>
        <w:t>Finance, procurement, and member-services stakeholders</w:t>
      </w:r>
    </w:p>
    <w:p>
      <w:pPr>
        <w:pStyle w:val="Heading2"/>
        <w:spacing w:after="80"/>
      </w:pPr>
      <w:r>
        <w:t>Operational problem hypothesis</w:t>
      </w:r>
    </w:p>
    <w:p>
      <w:pPr>
        <w:pStyle w:val="ListBullet"/>
        <w:spacing w:after="80"/>
      </w:pPr>
      <w:r>
        <w:t>Large, geographically dispersed asset base</w:t>
      </w:r>
    </w:p>
    <w:p>
      <w:pPr>
        <w:pStyle w:val="ListBullet"/>
        <w:spacing w:after="80"/>
      </w:pPr>
      <w:r>
        <w:t>Low customer density and lower revenue per mile</w:t>
      </w:r>
    </w:p>
    <w:p>
      <w:pPr>
        <w:pStyle w:val="ListBullet"/>
        <w:spacing w:after="80"/>
      </w:pPr>
      <w:r>
        <w:t>Fragmented field, GIS, document, work-order, and contractor information</w:t>
      </w:r>
    </w:p>
    <w:p>
      <w:pPr>
        <w:pStyle w:val="ListBullet"/>
        <w:spacing w:after="80"/>
      </w:pPr>
      <w:r>
        <w:t>High cost of inspection, documentation, maintenance prioritization, and capital planning</w:t>
      </w:r>
    </w:p>
    <w:p>
      <w:pPr>
        <w:pStyle w:val="ListBullet"/>
        <w:spacing w:after="80"/>
      </w:pPr>
      <w:r>
        <w:t>Need to defend investment decisions to boards, members, regulators, and funding bodies</w:t>
      </w:r>
    </w:p>
    <w:p>
      <w:pPr>
        <w:pStyle w:val="Heading1"/>
        <w:spacing w:after="80"/>
      </w:pPr>
      <w:r>
        <w:t>2. Market Structure and Scale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Verified indicator</w:t>
            </w:r>
          </w:p>
        </w:tc>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Current evidence</w:t>
            </w:r>
          </w:p>
        </w:tc>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Commercial implication</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NRECA rural utility membership</w:t>
            </w:r>
          </w:p>
        </w:tc>
        <w:tc>
          <w:tcPr>
            <w:tcW w:type="dxa" w:w="3360"/>
            <w:vAlign w:val="center"/>
            <w:tcMar>
              <w:top w:w="80" w:type="dxa"/>
              <w:start w:w="80" w:type="dxa"/>
              <w:bottom w:w="80" w:type="dxa"/>
              <w:end w:w="80" w:type="dxa"/>
            </w:tcMar>
          </w:tcPr>
          <w:p>
            <w:pPr>
              <w:spacing w:after="0"/>
            </w:pPr>
            <w:r>
              <w:rPr>
                <w:rFonts w:ascii="Noto Sans" w:hAnsi="Noto Sans" w:eastAsia="Noto Sans"/>
                <w:sz w:val="16"/>
              </w:rPr>
              <w:t>830 distribution cooperatives and 60 G&amp;T cooperatives; 890 total</w:t>
            </w:r>
          </w:p>
        </w:tc>
        <w:tc>
          <w:tcPr>
            <w:tcW w:type="dxa" w:w="3360"/>
            <w:vAlign w:val="center"/>
            <w:tcMar>
              <w:top w:w="80" w:type="dxa"/>
              <w:start w:w="80" w:type="dxa"/>
              <w:bottom w:w="80" w:type="dxa"/>
              <w:end w:w="80" w:type="dxa"/>
            </w:tcMar>
          </w:tcPr>
          <w:p>
            <w:pPr>
              <w:spacing w:after="0"/>
            </w:pPr>
            <w:r>
              <w:rPr>
                <w:rFonts w:ascii="Noto Sans" w:hAnsi="Noto Sans" w:eastAsia="Noto Sans"/>
                <w:sz w:val="16"/>
              </w:rPr>
              <w:t>A bounded, identifiable national market</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Population served</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Approximately 42 million people in 48 states</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Material public-infrastructure relevance</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Service locations</w:t>
            </w:r>
          </w:p>
        </w:tc>
        <w:tc>
          <w:tcPr>
            <w:tcW w:type="dxa" w:w="3360"/>
            <w:vAlign w:val="center"/>
            <w:tcMar>
              <w:top w:w="80" w:type="dxa"/>
              <w:start w:w="80" w:type="dxa"/>
              <w:bottom w:w="80" w:type="dxa"/>
              <w:end w:w="80" w:type="dxa"/>
            </w:tcMar>
          </w:tcPr>
          <w:p>
            <w:pPr>
              <w:spacing w:after="0"/>
            </w:pPr>
            <w:r>
              <w:rPr>
                <w:rFonts w:ascii="Noto Sans" w:hAnsi="Noto Sans" w:eastAsia="Noto Sans"/>
                <w:sz w:val="16"/>
              </w:rPr>
              <w:t>More than 23 million locations in over 2,500 counties</w:t>
            </w:r>
          </w:p>
        </w:tc>
        <w:tc>
          <w:tcPr>
            <w:tcW w:type="dxa" w:w="3360"/>
            <w:vAlign w:val="center"/>
            <w:tcMar>
              <w:top w:w="80" w:type="dxa"/>
              <w:start w:w="80" w:type="dxa"/>
              <w:bottom w:w="80" w:type="dxa"/>
              <w:end w:w="80" w:type="dxa"/>
            </w:tcMar>
          </w:tcPr>
          <w:p>
            <w:pPr>
              <w:spacing w:after="0"/>
            </w:pPr>
            <w:r>
              <w:rPr>
                <w:rFonts w:ascii="Noto Sans" w:hAnsi="Noto Sans" w:eastAsia="Noto Sans"/>
                <w:sz w:val="16"/>
              </w:rPr>
              <w:t>Large distributed operating footprint</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Distribution line</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2.7 million miles, about 42% of the U.S. total</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Asset intelligence and field-efficiency pressure</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Customers per mile</w:t>
            </w:r>
          </w:p>
        </w:tc>
        <w:tc>
          <w:tcPr>
            <w:tcW w:type="dxa" w:w="3360"/>
            <w:vAlign w:val="center"/>
            <w:tcMar>
              <w:top w:w="80" w:type="dxa"/>
              <w:start w:w="80" w:type="dxa"/>
              <w:bottom w:w="80" w:type="dxa"/>
              <w:end w:w="80" w:type="dxa"/>
            </w:tcMar>
          </w:tcPr>
          <w:p>
            <w:pPr>
              <w:spacing w:after="0"/>
            </w:pPr>
            <w:r>
              <w:rPr>
                <w:rFonts w:ascii="Noto Sans" w:hAnsi="Noto Sans" w:eastAsia="Noto Sans"/>
                <w:sz w:val="16"/>
              </w:rPr>
              <w:t>8.7 versus 38.9 for the rest of the industry</w:t>
            </w:r>
          </w:p>
        </w:tc>
        <w:tc>
          <w:tcPr>
            <w:tcW w:type="dxa" w:w="3360"/>
            <w:vAlign w:val="center"/>
            <w:tcMar>
              <w:top w:w="80" w:type="dxa"/>
              <w:start w:w="80" w:type="dxa"/>
              <w:bottom w:w="80" w:type="dxa"/>
              <w:end w:w="80" w:type="dxa"/>
            </w:tcMar>
          </w:tcPr>
          <w:p>
            <w:pPr>
              <w:spacing w:after="0"/>
            </w:pPr>
            <w:r>
              <w:rPr>
                <w:rFonts w:ascii="Noto Sans" w:hAnsi="Noto Sans" w:eastAsia="Noto Sans"/>
                <w:sz w:val="16"/>
              </w:rPr>
              <w:t>Higher cost-to-serve and stronger efficiency need</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Revenue per mile</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$22,775 versus $111,533 for the rest of the industry</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Capital and operating discipline are critical</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Combined assets</w:t>
            </w:r>
          </w:p>
        </w:tc>
        <w:tc>
          <w:tcPr>
            <w:tcW w:type="dxa" w:w="3360"/>
            <w:vAlign w:val="center"/>
            <w:tcMar>
              <w:top w:w="80" w:type="dxa"/>
              <w:start w:w="80" w:type="dxa"/>
              <w:bottom w:w="80" w:type="dxa"/>
              <w:end w:w="80" w:type="dxa"/>
            </w:tcMar>
          </w:tcPr>
          <w:p>
            <w:pPr>
              <w:spacing w:after="0"/>
            </w:pPr>
            <w:r>
              <w:rPr>
                <w:rFonts w:ascii="Noto Sans" w:hAnsi="Noto Sans" w:eastAsia="Noto Sans"/>
                <w:sz w:val="16"/>
              </w:rPr>
              <w:t>More than $213 billion</w:t>
            </w:r>
          </w:p>
        </w:tc>
        <w:tc>
          <w:tcPr>
            <w:tcW w:type="dxa" w:w="3360"/>
            <w:vAlign w:val="center"/>
            <w:tcMar>
              <w:top w:w="80" w:type="dxa"/>
              <w:start w:w="80" w:type="dxa"/>
              <w:bottom w:w="80" w:type="dxa"/>
              <w:end w:w="80" w:type="dxa"/>
            </w:tcMar>
          </w:tcPr>
          <w:p>
            <w:pPr>
              <w:spacing w:after="0"/>
            </w:pPr>
            <w:r>
              <w:rPr>
                <w:rFonts w:ascii="Noto Sans" w:hAnsi="Noto Sans" w:eastAsia="Noto Sans"/>
                <w:sz w:val="16"/>
              </w:rPr>
              <w:t>Significant installed infrastructure base</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Average distribution co-op revenue</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$72.1 million; median $42.3 million</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Market contains both mid-sized and smaller buyers</w:t>
            </w:r>
          </w:p>
        </w:tc>
      </w:tr>
    </w:tbl>
    <w:p>
      <w:pPr>
        <w:spacing w:after="80"/>
      </w:pPr>
      <w:r>
        <w:rPr>
          <w:b/>
        </w:rPr>
        <w:t xml:space="preserve">Interpretation. </w:t>
      </w:r>
      <w:r>
        <w:t>The combination of extensive line ownership, low density, and lower revenue per mile supports a strong structural hypothesis: electric cooperatives have recurring incentives to improve inspection efficiency, documentation quality, asset visibility, outage response, capital prioritization, and cross-functional coordination. These conditions support market investigation, but they do not prove that cooperatives will purchase a Sirius Logic Systems product.</w:t>
      </w:r>
    </w:p>
    <w:p>
      <w:pPr>
        <w:pStyle w:val="Heading1"/>
        <w:spacing w:after="80"/>
      </w:pPr>
      <w:r>
        <w:t>3. Ecosystem and Route-to-Market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Mar>
              <w:top w:w="80" w:type="dxa"/>
              <w:start w:w="80" w:type="dxa"/>
              <w:bottom w:w="80" w:type="dxa"/>
              <w:end w:w="80" w:type="dxa"/>
            </w:tcMar>
            <w:shd w:fill="1F4E78"/>
          </w:tcPr>
          <w:p>
            <w:pPr>
              <w:spacing w:after="0"/>
            </w:pPr>
            <w:r>
              <w:rPr>
                <w:rFonts w:ascii="Noto Sans" w:hAnsi="Noto Sans" w:eastAsia="Noto Sans"/>
                <w:b/>
                <w:color w:val="FFFFFF"/>
                <w:sz w:val="16"/>
              </w:rPr>
              <w:t>Ecosystem actor</w:t>
            </w:r>
          </w:p>
        </w:tc>
        <w:tc>
          <w:tcPr>
            <w:tcW w:type="dxa" w:w="2520"/>
            <w:vAlign w:val="center"/>
            <w:tcMar>
              <w:top w:w="80" w:type="dxa"/>
              <w:start w:w="80" w:type="dxa"/>
              <w:bottom w:w="80" w:type="dxa"/>
              <w:end w:w="80" w:type="dxa"/>
            </w:tcMar>
            <w:shd w:fill="1F4E78"/>
          </w:tcPr>
          <w:p>
            <w:pPr>
              <w:spacing w:after="0"/>
            </w:pPr>
            <w:r>
              <w:rPr>
                <w:rFonts w:ascii="Noto Sans" w:hAnsi="Noto Sans" w:eastAsia="Noto Sans"/>
                <w:b/>
                <w:color w:val="FFFFFF"/>
                <w:sz w:val="16"/>
              </w:rPr>
              <w:t>Role</w:t>
            </w:r>
          </w:p>
        </w:tc>
        <w:tc>
          <w:tcPr>
            <w:tcW w:type="dxa" w:w="2520"/>
            <w:vAlign w:val="center"/>
            <w:tcMar>
              <w:top w:w="80" w:type="dxa"/>
              <w:start w:w="80" w:type="dxa"/>
              <w:bottom w:w="80" w:type="dxa"/>
              <w:end w:w="80" w:type="dxa"/>
            </w:tcMar>
            <w:shd w:fill="1F4E78"/>
          </w:tcPr>
          <w:p>
            <w:pPr>
              <w:spacing w:after="0"/>
            </w:pPr>
            <w:r>
              <w:rPr>
                <w:rFonts w:ascii="Noto Sans" w:hAnsi="Noto Sans" w:eastAsia="Noto Sans"/>
                <w:b/>
                <w:color w:val="FFFFFF"/>
                <w:sz w:val="16"/>
              </w:rPr>
              <w:t>Evidence</w:t>
            </w:r>
          </w:p>
        </w:tc>
        <w:tc>
          <w:tcPr>
            <w:tcW w:type="dxa" w:w="2520"/>
            <w:vAlign w:val="center"/>
            <w:tcMar>
              <w:top w:w="80" w:type="dxa"/>
              <w:start w:w="80" w:type="dxa"/>
              <w:bottom w:w="80" w:type="dxa"/>
              <w:end w:w="80" w:type="dxa"/>
            </w:tcMar>
            <w:shd w:fill="1F4E78"/>
          </w:tcPr>
          <w:p>
            <w:pPr>
              <w:spacing w:after="0"/>
            </w:pPr>
            <w:r>
              <w:rPr>
                <w:rFonts w:ascii="Noto Sans" w:hAnsi="Noto Sans" w:eastAsia="Noto Sans"/>
                <w:b/>
                <w:color w:val="FFFFFF"/>
                <w:sz w:val="16"/>
              </w:rPr>
              <w:t>Potential relevance</w:t>
            </w:r>
          </w:p>
        </w:tc>
      </w:tr>
      <w:tr>
        <w:tc>
          <w:tcPr>
            <w:tcW w:type="dxa" w:w="2520"/>
            <w:vAlign w:val="center"/>
            <w:tcMar>
              <w:top w:w="80" w:type="dxa"/>
              <w:start w:w="80" w:type="dxa"/>
              <w:bottom w:w="80" w:type="dxa"/>
              <w:end w:w="80" w:type="dxa"/>
            </w:tcMar>
          </w:tcPr>
          <w:p>
            <w:pPr>
              <w:spacing w:after="0"/>
            </w:pPr>
            <w:r>
              <w:rPr>
                <w:rFonts w:ascii="Noto Sans" w:hAnsi="Noto Sans" w:eastAsia="Noto Sans"/>
                <w:sz w:val="16"/>
              </w:rPr>
              <w:t>NRECA</w:t>
            </w:r>
          </w:p>
        </w:tc>
        <w:tc>
          <w:tcPr>
            <w:tcW w:type="dxa" w:w="2520"/>
            <w:vAlign w:val="center"/>
            <w:tcMar>
              <w:top w:w="80" w:type="dxa"/>
              <w:start w:w="80" w:type="dxa"/>
              <w:bottom w:w="80" w:type="dxa"/>
              <w:end w:w="80" w:type="dxa"/>
            </w:tcMar>
          </w:tcPr>
          <w:p>
            <w:pPr>
              <w:spacing w:after="0"/>
            </w:pPr>
            <w:r>
              <w:rPr>
                <w:rFonts w:ascii="Noto Sans" w:hAnsi="Noto Sans" w:eastAsia="Noto Sans"/>
                <w:sz w:val="16"/>
              </w:rPr>
              <w:t>National service organization</w:t>
            </w:r>
          </w:p>
        </w:tc>
        <w:tc>
          <w:tcPr>
            <w:tcW w:type="dxa" w:w="2520"/>
            <w:vAlign w:val="center"/>
            <w:tcMar>
              <w:top w:w="80" w:type="dxa"/>
              <w:start w:w="80" w:type="dxa"/>
              <w:bottom w:w="80" w:type="dxa"/>
              <w:end w:w="80" w:type="dxa"/>
            </w:tcMar>
          </w:tcPr>
          <w:p>
            <w:pPr>
              <w:spacing w:after="0"/>
            </w:pPr>
            <w:r>
              <w:rPr>
                <w:rFonts w:ascii="Noto Sans" w:hAnsi="Noto Sans" w:eastAsia="Noto Sans"/>
                <w:sz w:val="16"/>
              </w:rPr>
              <w:t>Represents America’s electric cooperatives; operates programs in broadband, cybersecurity, DER, operations, reliability, safety, T&amp;D, data and analytics</w:t>
            </w:r>
          </w:p>
        </w:tc>
        <w:tc>
          <w:tcPr>
            <w:tcW w:type="dxa" w:w="2520"/>
            <w:vAlign w:val="center"/>
            <w:tcMar>
              <w:top w:w="80" w:type="dxa"/>
              <w:start w:w="80" w:type="dxa"/>
              <w:bottom w:w="80" w:type="dxa"/>
              <w:end w:w="80" w:type="dxa"/>
            </w:tcMar>
          </w:tcPr>
          <w:p>
            <w:pPr>
              <w:spacing w:after="0"/>
            </w:pPr>
            <w:r>
              <w:rPr>
                <w:rFonts w:ascii="Noto Sans" w:hAnsi="Noto Sans" w:eastAsia="Noto Sans"/>
                <w:sz w:val="16"/>
              </w:rPr>
              <w:t>Research source, education channel, conference route, supplier pathway, credibility network</w:t>
            </w:r>
          </w:p>
        </w:tc>
      </w:tr>
      <w:tr>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NRECA Member Directory</w:t>
            </w:r>
          </w:p>
        </w:tc>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Market directory</w:t>
            </w:r>
          </w:p>
        </w:tc>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Lists member cooperatives, affiliated organizations, and international members</w:t>
            </w:r>
          </w:p>
        </w:tc>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Prospect and ecosystem identification</w:t>
            </w:r>
          </w:p>
        </w:tc>
      </w:tr>
      <w:tr>
        <w:tc>
          <w:tcPr>
            <w:tcW w:type="dxa" w:w="2520"/>
            <w:vAlign w:val="center"/>
            <w:tcMar>
              <w:top w:w="80" w:type="dxa"/>
              <w:start w:w="80" w:type="dxa"/>
              <w:bottom w:w="80" w:type="dxa"/>
              <w:end w:w="80" w:type="dxa"/>
            </w:tcMar>
          </w:tcPr>
          <w:p>
            <w:pPr>
              <w:spacing w:after="0"/>
            </w:pPr>
            <w:r>
              <w:rPr>
                <w:rFonts w:ascii="Noto Sans" w:hAnsi="Noto Sans" w:eastAsia="Noto Sans"/>
                <w:sz w:val="16"/>
              </w:rPr>
              <w:t>NRECA Business &amp; Technology Strategies</w:t>
            </w:r>
          </w:p>
        </w:tc>
        <w:tc>
          <w:tcPr>
            <w:tcW w:type="dxa" w:w="2520"/>
            <w:vAlign w:val="center"/>
            <w:tcMar>
              <w:top w:w="80" w:type="dxa"/>
              <w:start w:w="80" w:type="dxa"/>
              <w:bottom w:w="80" w:type="dxa"/>
              <w:end w:w="80" w:type="dxa"/>
            </w:tcMar>
          </w:tcPr>
          <w:p>
            <w:pPr>
              <w:spacing w:after="0"/>
            </w:pPr>
            <w:r>
              <w:rPr>
                <w:rFonts w:ascii="Noto Sans" w:hAnsi="Noto Sans" w:eastAsia="Noto Sans"/>
                <w:sz w:val="16"/>
              </w:rPr>
              <w:t>Technology and operations programs</w:t>
            </w:r>
          </w:p>
        </w:tc>
        <w:tc>
          <w:tcPr>
            <w:tcW w:type="dxa" w:w="2520"/>
            <w:vAlign w:val="center"/>
            <w:tcMar>
              <w:top w:w="80" w:type="dxa"/>
              <w:start w:w="80" w:type="dxa"/>
              <w:bottom w:w="80" w:type="dxa"/>
              <w:end w:w="80" w:type="dxa"/>
            </w:tcMar>
          </w:tcPr>
          <w:p>
            <w:pPr>
              <w:spacing w:after="0"/>
            </w:pPr>
            <w:r>
              <w:rPr>
                <w:rFonts w:ascii="Noto Sans" w:hAnsi="Noto Sans" w:eastAsia="Noto Sans"/>
                <w:sz w:val="16"/>
              </w:rPr>
              <w:t>Includes MultiSpeak, research, work groups, OMF, cybersecurity and infrastructure resources</w:t>
            </w:r>
          </w:p>
        </w:tc>
        <w:tc>
          <w:tcPr>
            <w:tcW w:type="dxa" w:w="2520"/>
            <w:vAlign w:val="center"/>
            <w:tcMar>
              <w:top w:w="80" w:type="dxa"/>
              <w:start w:w="80" w:type="dxa"/>
              <w:bottom w:w="80" w:type="dxa"/>
              <w:end w:w="80" w:type="dxa"/>
            </w:tcMar>
          </w:tcPr>
          <w:p>
            <w:pPr>
              <w:spacing w:after="0"/>
            </w:pPr>
            <w:r>
              <w:rPr>
                <w:rFonts w:ascii="Noto Sans" w:hAnsi="Noto Sans" w:eastAsia="Noto Sans"/>
                <w:sz w:val="16"/>
              </w:rPr>
              <w:t>Standards alignment, integration intelligence, practitioner access</w:t>
            </w:r>
          </w:p>
        </w:tc>
      </w:tr>
      <w:tr>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CFC</w:t>
            </w:r>
          </w:p>
        </w:tc>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Cooperative finance network</w:t>
            </w:r>
          </w:p>
        </w:tc>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District 10 includes Arizona, New Mexico, and Texas</w:t>
            </w:r>
          </w:p>
        </w:tc>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Geographic segmentation and capital ecosystem</w:t>
            </w:r>
          </w:p>
        </w:tc>
      </w:tr>
      <w:tr>
        <w:tc>
          <w:tcPr>
            <w:tcW w:type="dxa" w:w="2520"/>
            <w:vAlign w:val="center"/>
            <w:tcMar>
              <w:top w:w="80" w:type="dxa"/>
              <w:start w:w="80" w:type="dxa"/>
              <w:bottom w:w="80" w:type="dxa"/>
              <w:end w:w="80" w:type="dxa"/>
            </w:tcMar>
          </w:tcPr>
          <w:p>
            <w:pPr>
              <w:spacing w:after="0"/>
            </w:pPr>
            <w:r>
              <w:rPr>
                <w:rFonts w:ascii="Noto Sans" w:hAnsi="Noto Sans" w:eastAsia="Noto Sans"/>
                <w:sz w:val="16"/>
              </w:rPr>
              <w:t>United Cooperative Services</w:t>
            </w:r>
          </w:p>
        </w:tc>
        <w:tc>
          <w:tcPr>
            <w:tcW w:type="dxa" w:w="2520"/>
            <w:vAlign w:val="center"/>
            <w:tcMar>
              <w:top w:w="80" w:type="dxa"/>
              <w:start w:w="80" w:type="dxa"/>
              <w:bottom w:w="80" w:type="dxa"/>
              <w:end w:w="80" w:type="dxa"/>
            </w:tcMar>
          </w:tcPr>
          <w:p>
            <w:pPr>
              <w:spacing w:after="0"/>
            </w:pPr>
            <w:r>
              <w:rPr>
                <w:rFonts w:ascii="Noto Sans" w:hAnsi="Noto Sans" w:eastAsia="Noto Sans"/>
                <w:sz w:val="16"/>
              </w:rPr>
              <w:t>Representative cooperative</w:t>
            </w:r>
          </w:p>
        </w:tc>
        <w:tc>
          <w:tcPr>
            <w:tcW w:type="dxa" w:w="2520"/>
            <w:vAlign w:val="center"/>
            <w:tcMar>
              <w:top w:w="80" w:type="dxa"/>
              <w:start w:w="80" w:type="dxa"/>
              <w:bottom w:w="80" w:type="dxa"/>
              <w:end w:w="80" w:type="dxa"/>
            </w:tcMar>
          </w:tcPr>
          <w:p>
            <w:pPr>
              <w:spacing w:after="0"/>
            </w:pPr>
            <w:r>
              <w:rPr>
                <w:rFonts w:ascii="Noto Sans" w:hAnsi="Noto Sans" w:eastAsia="Noto Sans"/>
                <w:sz w:val="16"/>
              </w:rPr>
              <w:t>Offers electric service, outage tools, internet, solar, business internet, energy innovation, and new-construction support</w:t>
            </w:r>
          </w:p>
        </w:tc>
        <w:tc>
          <w:tcPr>
            <w:tcW w:type="dxa" w:w="2520"/>
            <w:vAlign w:val="center"/>
            <w:tcMar>
              <w:top w:w="80" w:type="dxa"/>
              <w:start w:w="80" w:type="dxa"/>
              <w:bottom w:w="80" w:type="dxa"/>
              <w:end w:w="80" w:type="dxa"/>
            </w:tcMar>
          </w:tcPr>
          <w:p>
            <w:pPr>
              <w:spacing w:after="0"/>
            </w:pPr>
            <w:r>
              <w:rPr>
                <w:rFonts w:ascii="Noto Sans" w:hAnsi="Noto Sans" w:eastAsia="Noto Sans"/>
                <w:sz w:val="16"/>
              </w:rPr>
              <w:t>Evidence that some co-ops are multi-service infrastructure operators</w:t>
            </w:r>
          </w:p>
        </w:tc>
      </w:tr>
      <w:tr>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Cooperative members and boards</w:t>
            </w:r>
          </w:p>
        </w:tc>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Owners and governance</w:t>
            </w:r>
          </w:p>
        </w:tc>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Member-owned and board-governed at-cost utilities</w:t>
            </w:r>
          </w:p>
        </w:tc>
        <w:tc>
          <w:tcPr>
            <w:tcW w:type="dxa" w:w="2520"/>
            <w:vAlign w:val="center"/>
            <w:tcMar>
              <w:top w:w="80" w:type="dxa"/>
              <w:start w:w="80" w:type="dxa"/>
              <w:bottom w:w="80" w:type="dxa"/>
              <w:end w:w="80" w:type="dxa"/>
            </w:tcMar>
            <w:shd w:fill="EAF1F7"/>
          </w:tcPr>
          <w:p>
            <w:pPr>
              <w:spacing w:after="0"/>
            </w:pPr>
            <w:r>
              <w:rPr>
                <w:rFonts w:ascii="Noto Sans" w:hAnsi="Noto Sans" w:eastAsia="Noto Sans"/>
                <w:sz w:val="16"/>
              </w:rPr>
              <w:t>Value proposition must emphasize member value, affordability, reliability, and stewardship</w:t>
            </w:r>
          </w:p>
        </w:tc>
      </w:tr>
    </w:tbl>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color w:val="18334F"/>
              </w:rPr>
              <w:t>Route-to-market principle</w:t>
              <w:br/>
            </w:r>
            <w:r>
              <w:t>Do not begin with mass outbound sales. Begin with ecosystem learning: cooperative interviews, engineering and operations conversations, NRECA program research, Texas cooperative mapping, and a tightly scoped paid assessment or pilot hypothesis.</w:t>
            </w:r>
          </w:p>
        </w:tc>
      </w:tr>
    </w:tbl>
    <w:p>
      <w:pPr>
        <w:spacing w:after="80"/>
      </w:pPr>
    </w:p>
    <w:p>
      <w:pPr>
        <w:pStyle w:val="Heading1"/>
        <w:spacing w:after="80"/>
      </w:pPr>
      <w:r>
        <w:t>4. Evidence Register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ID</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Assertion</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Source</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Class</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Relevance</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EV-001</w:t>
            </w:r>
          </w:p>
        </w:tc>
        <w:tc>
          <w:tcPr>
            <w:tcW w:type="dxa" w:w="2016"/>
            <w:vAlign w:val="center"/>
            <w:tcMar>
              <w:top w:w="80" w:type="dxa"/>
              <w:start w:w="80" w:type="dxa"/>
              <w:bottom w:w="80" w:type="dxa"/>
              <w:end w:w="80" w:type="dxa"/>
            </w:tcMar>
          </w:tcPr>
          <w:p>
            <w:pPr>
              <w:spacing w:after="0"/>
            </w:pPr>
            <w:r>
              <w:rPr>
                <w:rFonts w:ascii="Noto Sans" w:hAnsi="Noto Sans" w:eastAsia="Noto Sans"/>
                <w:sz w:val="16"/>
              </w:rPr>
              <w:t>Electric cooperatives are private, independent, non-profit utilities owned by the customers they serve and governed by elected boards.</w:t>
            </w:r>
          </w:p>
        </w:tc>
        <w:tc>
          <w:tcPr>
            <w:tcW w:type="dxa" w:w="2016"/>
            <w:vAlign w:val="center"/>
            <w:tcMar>
              <w:top w:w="80" w:type="dxa"/>
              <w:start w:w="80" w:type="dxa"/>
              <w:bottom w:w="80" w:type="dxa"/>
              <w:end w:w="80" w:type="dxa"/>
            </w:tcMar>
          </w:tcPr>
          <w:p>
            <w:pPr>
              <w:spacing w:after="0"/>
            </w:pPr>
            <w:r>
              <w:rPr>
                <w:rFonts w:ascii="Noto Sans" w:hAnsi="Noto Sans" w:eastAsia="Noto Sans"/>
                <w:sz w:val="16"/>
              </w:rPr>
              <w:t>NRECA Electric Co-op Fact Sheet, Apr. 2026</w:t>
            </w:r>
          </w:p>
        </w:tc>
        <w:tc>
          <w:tcPr>
            <w:tcW w:type="dxa" w:w="2016"/>
            <w:vAlign w:val="center"/>
            <w:tcMar>
              <w:top w:w="80" w:type="dxa"/>
              <w:start w:w="80" w:type="dxa"/>
              <w:bottom w:w="80" w:type="dxa"/>
              <w:end w:w="80" w:type="dxa"/>
            </w:tcMar>
          </w:tcPr>
          <w:p>
            <w:pPr>
              <w:spacing w:after="0"/>
            </w:pPr>
            <w:r>
              <w:rPr>
                <w:rFonts w:ascii="Noto Sans" w:hAnsi="Noto Sans" w:eastAsia="Noto Sans"/>
                <w:sz w:val="16"/>
              </w:rPr>
              <w:t>Verified</w:t>
            </w:r>
          </w:p>
        </w:tc>
        <w:tc>
          <w:tcPr>
            <w:tcW w:type="dxa" w:w="2016"/>
            <w:vAlign w:val="center"/>
            <w:tcMar>
              <w:top w:w="80" w:type="dxa"/>
              <w:start w:w="80" w:type="dxa"/>
              <w:bottom w:w="80" w:type="dxa"/>
              <w:end w:w="80" w:type="dxa"/>
            </w:tcMar>
          </w:tcPr>
          <w:p>
            <w:pPr>
              <w:spacing w:after="0"/>
            </w:pPr>
            <w:r>
              <w:rPr>
                <w:rFonts w:ascii="Noto Sans" w:hAnsi="Noto Sans" w:eastAsia="Noto Sans"/>
                <w:sz w:val="16"/>
              </w:rPr>
              <w:t>Market governance and buyer context</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EV-002</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NRECA has 830 distribution and 60 G&amp;T members, for 890 rural utility members.</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NRECA Electric Co-op Fact Sheet, Apr. 2026</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Verified</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Market size</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EV-003</w:t>
            </w:r>
          </w:p>
        </w:tc>
        <w:tc>
          <w:tcPr>
            <w:tcW w:type="dxa" w:w="2016"/>
            <w:vAlign w:val="center"/>
            <w:tcMar>
              <w:top w:w="80" w:type="dxa"/>
              <w:start w:w="80" w:type="dxa"/>
              <w:bottom w:w="80" w:type="dxa"/>
              <w:end w:w="80" w:type="dxa"/>
            </w:tcMar>
          </w:tcPr>
          <w:p>
            <w:pPr>
              <w:spacing w:after="0"/>
            </w:pPr>
            <w:r>
              <w:rPr>
                <w:rFonts w:ascii="Noto Sans" w:hAnsi="Noto Sans" w:eastAsia="Noto Sans"/>
                <w:sz w:val="16"/>
              </w:rPr>
              <w:t>Electric cooperatives serve about 42 million people in 48 states.</w:t>
            </w:r>
          </w:p>
        </w:tc>
        <w:tc>
          <w:tcPr>
            <w:tcW w:type="dxa" w:w="2016"/>
            <w:vAlign w:val="center"/>
            <w:tcMar>
              <w:top w:w="80" w:type="dxa"/>
              <w:start w:w="80" w:type="dxa"/>
              <w:bottom w:w="80" w:type="dxa"/>
              <w:end w:w="80" w:type="dxa"/>
            </w:tcMar>
          </w:tcPr>
          <w:p>
            <w:pPr>
              <w:spacing w:after="0"/>
            </w:pPr>
            <w:r>
              <w:rPr>
                <w:rFonts w:ascii="Noto Sans" w:hAnsi="Noto Sans" w:eastAsia="Noto Sans"/>
                <w:sz w:val="16"/>
              </w:rPr>
              <w:t>NRECA Electric Co-op Fact Sheet, Apr. 2026</w:t>
            </w:r>
          </w:p>
        </w:tc>
        <w:tc>
          <w:tcPr>
            <w:tcW w:type="dxa" w:w="2016"/>
            <w:vAlign w:val="center"/>
            <w:tcMar>
              <w:top w:w="80" w:type="dxa"/>
              <w:start w:w="80" w:type="dxa"/>
              <w:bottom w:w="80" w:type="dxa"/>
              <w:end w:w="80" w:type="dxa"/>
            </w:tcMar>
          </w:tcPr>
          <w:p>
            <w:pPr>
              <w:spacing w:after="0"/>
            </w:pPr>
            <w:r>
              <w:rPr>
                <w:rFonts w:ascii="Noto Sans" w:hAnsi="Noto Sans" w:eastAsia="Noto Sans"/>
                <w:sz w:val="16"/>
              </w:rPr>
              <w:t>Verified</w:t>
            </w:r>
          </w:p>
        </w:tc>
        <w:tc>
          <w:tcPr>
            <w:tcW w:type="dxa" w:w="2016"/>
            <w:vAlign w:val="center"/>
            <w:tcMar>
              <w:top w:w="80" w:type="dxa"/>
              <w:start w:w="80" w:type="dxa"/>
              <w:bottom w:w="80" w:type="dxa"/>
              <w:end w:w="80" w:type="dxa"/>
            </w:tcMar>
          </w:tcPr>
          <w:p>
            <w:pPr>
              <w:spacing w:after="0"/>
            </w:pPr>
            <w:r>
              <w:rPr>
                <w:rFonts w:ascii="Noto Sans" w:hAnsi="Noto Sans" w:eastAsia="Noto Sans"/>
                <w:sz w:val="16"/>
              </w:rPr>
              <w:t>Market scale</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EV-004</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Electric cooperatives own and maintain 2.7 million miles of distribution line, about 42% of the U.S. total.</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NRECA Electric Co-op Fact Sheet, Apr. 2026</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Verified</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Infrastructure scale</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EV-005</w:t>
            </w:r>
          </w:p>
        </w:tc>
        <w:tc>
          <w:tcPr>
            <w:tcW w:type="dxa" w:w="2016"/>
            <w:vAlign w:val="center"/>
            <w:tcMar>
              <w:top w:w="80" w:type="dxa"/>
              <w:start w:w="80" w:type="dxa"/>
              <w:bottom w:w="80" w:type="dxa"/>
              <w:end w:w="80" w:type="dxa"/>
            </w:tcMar>
          </w:tcPr>
          <w:p>
            <w:pPr>
              <w:spacing w:after="0"/>
            </w:pPr>
            <w:r>
              <w:rPr>
                <w:rFonts w:ascii="Noto Sans" w:hAnsi="Noto Sans" w:eastAsia="Noto Sans"/>
                <w:sz w:val="16"/>
              </w:rPr>
              <w:t>Cooperatives average 8.7 customers per mile versus 38.9 for the rest of the industry.</w:t>
            </w:r>
          </w:p>
        </w:tc>
        <w:tc>
          <w:tcPr>
            <w:tcW w:type="dxa" w:w="2016"/>
            <w:vAlign w:val="center"/>
            <w:tcMar>
              <w:top w:w="80" w:type="dxa"/>
              <w:start w:w="80" w:type="dxa"/>
              <w:bottom w:w="80" w:type="dxa"/>
              <w:end w:w="80" w:type="dxa"/>
            </w:tcMar>
          </w:tcPr>
          <w:p>
            <w:pPr>
              <w:spacing w:after="0"/>
            </w:pPr>
            <w:r>
              <w:rPr>
                <w:rFonts w:ascii="Noto Sans" w:hAnsi="Noto Sans" w:eastAsia="Noto Sans"/>
                <w:sz w:val="16"/>
              </w:rPr>
              <w:t>NRECA Electric Co-op Fact Sheet, Apr. 2026</w:t>
            </w:r>
          </w:p>
        </w:tc>
        <w:tc>
          <w:tcPr>
            <w:tcW w:type="dxa" w:w="2016"/>
            <w:vAlign w:val="center"/>
            <w:tcMar>
              <w:top w:w="80" w:type="dxa"/>
              <w:start w:w="80" w:type="dxa"/>
              <w:bottom w:w="80" w:type="dxa"/>
              <w:end w:w="80" w:type="dxa"/>
            </w:tcMar>
          </w:tcPr>
          <w:p>
            <w:pPr>
              <w:spacing w:after="0"/>
            </w:pPr>
            <w:r>
              <w:rPr>
                <w:rFonts w:ascii="Noto Sans" w:hAnsi="Noto Sans" w:eastAsia="Noto Sans"/>
                <w:sz w:val="16"/>
              </w:rPr>
              <w:t>Verified</w:t>
            </w:r>
          </w:p>
        </w:tc>
        <w:tc>
          <w:tcPr>
            <w:tcW w:type="dxa" w:w="2016"/>
            <w:vAlign w:val="center"/>
            <w:tcMar>
              <w:top w:w="80" w:type="dxa"/>
              <w:start w:w="80" w:type="dxa"/>
              <w:bottom w:w="80" w:type="dxa"/>
              <w:end w:w="80" w:type="dxa"/>
            </w:tcMar>
          </w:tcPr>
          <w:p>
            <w:pPr>
              <w:spacing w:after="0"/>
            </w:pPr>
            <w:r>
              <w:rPr>
                <w:rFonts w:ascii="Noto Sans" w:hAnsi="Noto Sans" w:eastAsia="Noto Sans"/>
                <w:sz w:val="16"/>
              </w:rPr>
              <w:t>Operating pressure</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EV-006</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Cooperative revenue per mile is $22,775 versus $111,533 for the rest of the industry.</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NRECA Electric Co-op Fact Sheet, Apr. 2026</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Verified</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Economic pressure</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EV-007</w:t>
            </w:r>
          </w:p>
        </w:tc>
        <w:tc>
          <w:tcPr>
            <w:tcW w:type="dxa" w:w="2016"/>
            <w:vAlign w:val="center"/>
            <w:tcMar>
              <w:top w:w="80" w:type="dxa"/>
              <w:start w:w="80" w:type="dxa"/>
              <w:bottom w:w="80" w:type="dxa"/>
              <w:end w:w="80" w:type="dxa"/>
            </w:tcMar>
          </w:tcPr>
          <w:p>
            <w:pPr>
              <w:spacing w:after="0"/>
            </w:pPr>
            <w:r>
              <w:rPr>
                <w:rFonts w:ascii="Noto Sans" w:hAnsi="Noto Sans" w:eastAsia="Noto Sans"/>
                <w:sz w:val="16"/>
              </w:rPr>
              <w:t>NRECA operates programs across broadband, cybersecurity, DER, operations, reliability, safety, T&amp;D, data and analytics, and related technology initiatives.</w:t>
            </w:r>
          </w:p>
        </w:tc>
        <w:tc>
          <w:tcPr>
            <w:tcW w:type="dxa" w:w="2016"/>
            <w:vAlign w:val="center"/>
            <w:tcMar>
              <w:top w:w="80" w:type="dxa"/>
              <w:start w:w="80" w:type="dxa"/>
              <w:bottom w:w="80" w:type="dxa"/>
              <w:end w:w="80" w:type="dxa"/>
            </w:tcMar>
          </w:tcPr>
          <w:p>
            <w:pPr>
              <w:spacing w:after="0"/>
            </w:pPr>
            <w:r>
              <w:rPr>
                <w:rFonts w:ascii="Noto Sans" w:hAnsi="Noto Sans" w:eastAsia="Noto Sans"/>
                <w:sz w:val="16"/>
              </w:rPr>
              <w:t>NRECA cooperative.com portal</w:t>
            </w:r>
          </w:p>
        </w:tc>
        <w:tc>
          <w:tcPr>
            <w:tcW w:type="dxa" w:w="2016"/>
            <w:vAlign w:val="center"/>
            <w:tcMar>
              <w:top w:w="80" w:type="dxa"/>
              <w:start w:w="80" w:type="dxa"/>
              <w:bottom w:w="80" w:type="dxa"/>
              <w:end w:w="80" w:type="dxa"/>
            </w:tcMar>
          </w:tcPr>
          <w:p>
            <w:pPr>
              <w:spacing w:after="0"/>
            </w:pPr>
            <w:r>
              <w:rPr>
                <w:rFonts w:ascii="Noto Sans" w:hAnsi="Noto Sans" w:eastAsia="Noto Sans"/>
                <w:sz w:val="16"/>
              </w:rPr>
              <w:t>Verified</w:t>
            </w:r>
          </w:p>
        </w:tc>
        <w:tc>
          <w:tcPr>
            <w:tcW w:type="dxa" w:w="2016"/>
            <w:vAlign w:val="center"/>
            <w:tcMar>
              <w:top w:w="80" w:type="dxa"/>
              <w:start w:w="80" w:type="dxa"/>
              <w:bottom w:w="80" w:type="dxa"/>
              <w:end w:w="80" w:type="dxa"/>
            </w:tcMar>
          </w:tcPr>
          <w:p>
            <w:pPr>
              <w:spacing w:after="0"/>
            </w:pPr>
            <w:r>
              <w:rPr>
                <w:rFonts w:ascii="Noto Sans" w:hAnsi="Noto Sans" w:eastAsia="Noto Sans"/>
                <w:sz w:val="16"/>
              </w:rPr>
              <w:t>Ecosystem access</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EV-008</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NRECA maintains a directory of member cooperatives and affiliated organizations.</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NRECA Member Directory</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Verified</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Market identifiability</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EV-009</w:t>
            </w:r>
          </w:p>
        </w:tc>
        <w:tc>
          <w:tcPr>
            <w:tcW w:type="dxa" w:w="2016"/>
            <w:vAlign w:val="center"/>
            <w:tcMar>
              <w:top w:w="80" w:type="dxa"/>
              <w:start w:w="80" w:type="dxa"/>
              <w:bottom w:w="80" w:type="dxa"/>
              <w:end w:w="80" w:type="dxa"/>
            </w:tcMar>
          </w:tcPr>
          <w:p>
            <w:pPr>
              <w:spacing w:after="0"/>
            </w:pPr>
            <w:r>
              <w:rPr>
                <w:rFonts w:ascii="Noto Sans" w:hAnsi="Noto Sans" w:eastAsia="Noto Sans"/>
                <w:sz w:val="16"/>
              </w:rPr>
              <w:t>CFC District 10 includes Arizona, New Mexico, and Texas.</w:t>
            </w:r>
          </w:p>
        </w:tc>
        <w:tc>
          <w:tcPr>
            <w:tcW w:type="dxa" w:w="2016"/>
            <w:vAlign w:val="center"/>
            <w:tcMar>
              <w:top w:w="80" w:type="dxa"/>
              <w:start w:w="80" w:type="dxa"/>
              <w:bottom w:w="80" w:type="dxa"/>
              <w:end w:w="80" w:type="dxa"/>
            </w:tcMar>
          </w:tcPr>
          <w:p>
            <w:pPr>
              <w:spacing w:after="0"/>
            </w:pPr>
            <w:r>
              <w:rPr>
                <w:rFonts w:ascii="Noto Sans" w:hAnsi="Noto Sans" w:eastAsia="Noto Sans"/>
                <w:sz w:val="16"/>
              </w:rPr>
              <w:t>CFC District Map</w:t>
            </w:r>
          </w:p>
        </w:tc>
        <w:tc>
          <w:tcPr>
            <w:tcW w:type="dxa" w:w="2016"/>
            <w:vAlign w:val="center"/>
            <w:tcMar>
              <w:top w:w="80" w:type="dxa"/>
              <w:start w:w="80" w:type="dxa"/>
              <w:bottom w:w="80" w:type="dxa"/>
              <w:end w:w="80" w:type="dxa"/>
            </w:tcMar>
          </w:tcPr>
          <w:p>
            <w:pPr>
              <w:spacing w:after="0"/>
            </w:pPr>
            <w:r>
              <w:rPr>
                <w:rFonts w:ascii="Noto Sans" w:hAnsi="Noto Sans" w:eastAsia="Noto Sans"/>
                <w:sz w:val="16"/>
              </w:rPr>
              <w:t>Verified</w:t>
            </w:r>
          </w:p>
        </w:tc>
        <w:tc>
          <w:tcPr>
            <w:tcW w:type="dxa" w:w="2016"/>
            <w:vAlign w:val="center"/>
            <w:tcMar>
              <w:top w:w="80" w:type="dxa"/>
              <w:start w:w="80" w:type="dxa"/>
              <w:bottom w:w="80" w:type="dxa"/>
              <w:end w:w="80" w:type="dxa"/>
            </w:tcMar>
          </w:tcPr>
          <w:p>
            <w:pPr>
              <w:spacing w:after="0"/>
            </w:pPr>
            <w:r>
              <w:rPr>
                <w:rFonts w:ascii="Noto Sans" w:hAnsi="Noto Sans" w:eastAsia="Noto Sans"/>
                <w:sz w:val="16"/>
              </w:rPr>
              <w:t>Geographic focus</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EV-010</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United Cooperative Services offers electric and internet services, outage tools, solar, energy innovation, and business support.</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United Cooperative Services website</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Verified</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Multi-service cooperative example</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EV-011</w:t>
            </w:r>
          </w:p>
        </w:tc>
        <w:tc>
          <w:tcPr>
            <w:tcW w:type="dxa" w:w="2016"/>
            <w:vAlign w:val="center"/>
            <w:tcMar>
              <w:top w:w="80" w:type="dxa"/>
              <w:start w:w="80" w:type="dxa"/>
              <w:bottom w:w="80" w:type="dxa"/>
              <w:end w:w="80" w:type="dxa"/>
            </w:tcMar>
          </w:tcPr>
          <w:p>
            <w:pPr>
              <w:spacing w:after="0"/>
            </w:pPr>
            <w:r>
              <w:rPr>
                <w:rFonts w:ascii="Noto Sans" w:hAnsi="Noto Sans" w:eastAsia="Noto Sans"/>
                <w:sz w:val="16"/>
              </w:rPr>
              <w:t>Cooperatives likely experience repeated field-information and asset-documentation inefficiencies because of geographic dispersion and low density.</w:t>
            </w:r>
          </w:p>
        </w:tc>
        <w:tc>
          <w:tcPr>
            <w:tcW w:type="dxa" w:w="2016"/>
            <w:vAlign w:val="center"/>
            <w:tcMar>
              <w:top w:w="80" w:type="dxa"/>
              <w:start w:w="80" w:type="dxa"/>
              <w:bottom w:w="80" w:type="dxa"/>
              <w:end w:w="80" w:type="dxa"/>
            </w:tcMar>
          </w:tcPr>
          <w:p>
            <w:pPr>
              <w:spacing w:after="0"/>
            </w:pPr>
            <w:r>
              <w:rPr>
                <w:rFonts w:ascii="Noto Sans" w:hAnsi="Noto Sans" w:eastAsia="Noto Sans"/>
                <w:sz w:val="16"/>
              </w:rPr>
              <w:t>Inference from EV-004 to EV-006</w:t>
            </w:r>
          </w:p>
        </w:tc>
        <w:tc>
          <w:tcPr>
            <w:tcW w:type="dxa" w:w="2016"/>
            <w:vAlign w:val="center"/>
            <w:tcMar>
              <w:top w:w="80" w:type="dxa"/>
              <w:start w:w="80" w:type="dxa"/>
              <w:bottom w:w="80" w:type="dxa"/>
              <w:end w:w="80" w:type="dxa"/>
            </w:tcMar>
          </w:tcPr>
          <w:p>
            <w:pPr>
              <w:spacing w:after="0"/>
            </w:pPr>
            <w:r>
              <w:rPr>
                <w:rFonts w:ascii="Noto Sans" w:hAnsi="Noto Sans" w:eastAsia="Noto Sans"/>
                <w:sz w:val="16"/>
              </w:rPr>
              <w:t>Supported</w:t>
            </w:r>
          </w:p>
        </w:tc>
        <w:tc>
          <w:tcPr>
            <w:tcW w:type="dxa" w:w="2016"/>
            <w:vAlign w:val="center"/>
            <w:tcMar>
              <w:top w:w="80" w:type="dxa"/>
              <w:start w:w="80" w:type="dxa"/>
              <w:bottom w:w="80" w:type="dxa"/>
              <w:end w:w="80" w:type="dxa"/>
            </w:tcMar>
          </w:tcPr>
          <w:p>
            <w:pPr>
              <w:spacing w:after="0"/>
            </w:pPr>
            <w:r>
              <w:rPr>
                <w:rFonts w:ascii="Noto Sans" w:hAnsi="Noto Sans" w:eastAsia="Noto Sans"/>
                <w:sz w:val="16"/>
              </w:rPr>
              <w:t>Problem hypothesis</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EV-012</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A repeatable infrastructure-intelligence offer may create value through better documentation, prioritization, and evidence.</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SLS strategic hypothesis</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Assumption</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Solution hypothesis</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EV-013</w:t>
            </w:r>
          </w:p>
        </w:tc>
        <w:tc>
          <w:tcPr>
            <w:tcW w:type="dxa" w:w="2016"/>
            <w:vAlign w:val="center"/>
            <w:tcMar>
              <w:top w:w="80" w:type="dxa"/>
              <w:start w:w="80" w:type="dxa"/>
              <w:bottom w:w="80" w:type="dxa"/>
              <w:end w:w="80" w:type="dxa"/>
            </w:tcMar>
          </w:tcPr>
          <w:p>
            <w:pPr>
              <w:spacing w:after="0"/>
            </w:pPr>
            <w:r>
              <w:rPr>
                <w:rFonts w:ascii="Noto Sans" w:hAnsi="Noto Sans" w:eastAsia="Noto Sans"/>
                <w:sz w:val="16"/>
              </w:rPr>
              <w:t>Texas cooperatives will pay for a paid assessment or pilot from SLS.</w:t>
            </w:r>
          </w:p>
        </w:tc>
        <w:tc>
          <w:tcPr>
            <w:tcW w:type="dxa" w:w="2016"/>
            <w:vAlign w:val="center"/>
            <w:tcMar>
              <w:top w:w="80" w:type="dxa"/>
              <w:start w:w="80" w:type="dxa"/>
              <w:bottom w:w="80" w:type="dxa"/>
              <w:end w:w="80" w:type="dxa"/>
            </w:tcMar>
          </w:tcPr>
          <w:p>
            <w:pPr>
              <w:spacing w:after="0"/>
            </w:pPr>
            <w:r>
              <w:rPr>
                <w:rFonts w:ascii="Noto Sans" w:hAnsi="Noto Sans" w:eastAsia="Noto Sans"/>
                <w:sz w:val="16"/>
              </w:rPr>
              <w:t>Not yet tested</w:t>
            </w:r>
          </w:p>
        </w:tc>
        <w:tc>
          <w:tcPr>
            <w:tcW w:type="dxa" w:w="2016"/>
            <w:vAlign w:val="center"/>
            <w:tcMar>
              <w:top w:w="80" w:type="dxa"/>
              <w:start w:w="80" w:type="dxa"/>
              <w:bottom w:w="80" w:type="dxa"/>
              <w:end w:w="80" w:type="dxa"/>
            </w:tcMar>
          </w:tcPr>
          <w:p>
            <w:pPr>
              <w:spacing w:after="0"/>
            </w:pPr>
            <w:r>
              <w:rPr>
                <w:rFonts w:ascii="Noto Sans" w:hAnsi="Noto Sans" w:eastAsia="Noto Sans"/>
                <w:sz w:val="16"/>
              </w:rPr>
              <w:t>Unknown</w:t>
            </w:r>
          </w:p>
        </w:tc>
        <w:tc>
          <w:tcPr>
            <w:tcW w:type="dxa" w:w="2016"/>
            <w:vAlign w:val="center"/>
            <w:tcMar>
              <w:top w:w="80" w:type="dxa"/>
              <w:start w:w="80" w:type="dxa"/>
              <w:bottom w:w="80" w:type="dxa"/>
              <w:end w:w="80" w:type="dxa"/>
            </w:tcMar>
          </w:tcPr>
          <w:p>
            <w:pPr>
              <w:spacing w:after="0"/>
            </w:pPr>
            <w:r>
              <w:rPr>
                <w:rFonts w:ascii="Noto Sans" w:hAnsi="Noto Sans" w:eastAsia="Noto Sans"/>
                <w:sz w:val="16"/>
              </w:rPr>
              <w:t>Willingness to pay</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EV-014</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SLS can integrate efficiently with cooperative GIS, OMS, AMI, work-management, and document systems.</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Not yet tested</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Unknown</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Delivery feasibility</w:t>
            </w:r>
          </w:p>
        </w:tc>
      </w:tr>
    </w:tbl>
    <w:p>
      <w:pPr>
        <w:pStyle w:val="Heading1"/>
        <w:spacing w:after="80"/>
      </w:pPr>
      <w:r>
        <w:t>5. Criterion Assessment</w:t>
      </w:r>
    </w:p>
    <w:p>
      <w:pPr>
        <w:pStyle w:val="Heading2"/>
        <w:spacing w:after="80"/>
      </w:pPr>
      <w:r>
        <w:t>5.1 Market Need - 4/5</w:t>
      </w:r>
    </w:p>
    <w:p>
      <w:pPr>
        <w:spacing w:after="80"/>
      </w:pPr>
      <w:r>
        <w:t>Verified structural evidence shows an unusually extensive asset footprint combined with low customer density and low revenue per mile. This supports strong pressure for efficiency, reliability, documentation quality, and capital discipline. The score is limited to 4 because direct interviews have not yet verified which operational problem is most painful, frequent, and fundable.</w:t>
      </w:r>
    </w:p>
    <w:p>
      <w:pPr>
        <w:pStyle w:val="Heading2"/>
        <w:spacing w:after="80"/>
      </w:pPr>
      <w:r>
        <w:t>5.2 Strategic Alignment - 5/5</w:t>
      </w:r>
    </w:p>
    <w:p>
      <w:pPr>
        <w:spacing w:after="80"/>
      </w:pPr>
      <w:r>
        <w:t>The market aligns strongly with AnchorOS, AnchorFiber, S.P.A.T.I.A.L., evidence management, infrastructure documentation, field-to-office workflows, and decision support. Success could reuse platform services across utilities, broadband, engineering partners, and adjacent infrastructure markets.</w:t>
      </w:r>
    </w:p>
    <w:p>
      <w:pPr>
        <w:pStyle w:val="Heading2"/>
        <w:spacing w:after="80"/>
      </w:pPr>
      <w:r>
        <w:t>5.3 Differentiation - 3/5</w:t>
      </w:r>
    </w:p>
    <w:p>
      <w:pPr>
        <w:spacing w:after="80"/>
      </w:pPr>
      <w:r>
        <w:t>SLS may differentiate through evidence-first infrastructure intelligence, reusable assessment workflows, traceable recommendations, and continuation-validity concepts. However, the market-facing distinction is not yet tested against GIS, asset-management, AMI, engineering, and analytics vendors.</w:t>
      </w:r>
    </w:p>
    <w:p>
      <w:pPr>
        <w:pStyle w:val="Heading2"/>
        <w:spacing w:after="80"/>
      </w:pPr>
      <w:r>
        <w:t>5.4 Competitive Pressure - 3/5</w:t>
      </w:r>
    </w:p>
    <w:p>
      <w:pPr>
        <w:spacing w:after="80"/>
      </w:pPr>
      <w:r>
        <w:t>The market is accessible through a defined network, but incumbent technology providers, engineering firms, integrators, and member-service organizations may already address parts of the problem. The competitive whitespace is not yet mapped.</w:t>
      </w:r>
    </w:p>
    <w:p>
      <w:pPr>
        <w:pStyle w:val="Heading2"/>
        <w:spacing w:after="80"/>
      </w:pPr>
      <w:r>
        <w:t>5.5 Sales Complexity - 2/5</w:t>
      </w:r>
    </w:p>
    <w:p>
      <w:pPr>
        <w:spacing w:after="80"/>
      </w:pPr>
      <w:r>
        <w:t>Cooperatives are relationship-driven, board-governed, operationally conservative, and likely to require trust, references, cybersecurity review, integration confidence, and procurement discipline. SLS currently lacks cooperative references and a proven pilot.</w:t>
      </w:r>
    </w:p>
    <w:p>
      <w:pPr>
        <w:pStyle w:val="Heading2"/>
        <w:spacing w:after="80"/>
      </w:pPr>
      <w:r>
        <w:t>5.6 Revenue Potential - 4/5</w:t>
      </w:r>
    </w:p>
    <w:p>
      <w:pPr>
        <w:spacing w:after="80"/>
      </w:pPr>
      <w:r>
        <w:t>The number of organizations, infrastructure scale, and recurring operational needs support potential assessment, subscription, implementation, and enterprise revenue. Pricing and willingness to pay remain unverified.</w:t>
      </w:r>
    </w:p>
    <w:p>
      <w:pPr>
        <w:pStyle w:val="Heading2"/>
        <w:spacing w:after="80"/>
      </w:pPr>
      <w:r>
        <w:t>5.7 Technical Readiness - 3/5</w:t>
      </w:r>
    </w:p>
    <w:p>
      <w:pPr>
        <w:spacing w:after="80"/>
      </w:pPr>
      <w:r>
        <w:t>AnchorOS and related frameworks provide a credible base, but no cooperative-specific reference application, connector set, data model, or validated workflow currently exists. The score assumes a tightly bounded pilot rather than a full utility platform deployment.</w:t>
      </w:r>
    </w:p>
    <w:p>
      <w:pPr>
        <w:pStyle w:val="Heading2"/>
        <w:spacing w:after="80"/>
      </w:pPr>
      <w:r>
        <w:t>5.8 Long-Term Strategic Value - 5/5</w:t>
      </w:r>
    </w:p>
    <w:p>
      <w:pPr>
        <w:spacing w:after="80"/>
      </w:pPr>
      <w:r>
        <w:t>A successful cooperative engagement could generate reusable domain models, evidence structures, integration patterns, case studies, and access to national cooperative networks. It could also support AnchorFiber, AnchorGrid, and future infrastructure products.</w:t>
      </w:r>
    </w:p>
    <w:p>
      <w:pPr>
        <w:pStyle w:val="Heading1"/>
        <w:spacing w:after="80"/>
      </w:pPr>
      <w:r>
        <w:t>6. Assumption Register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ID</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Assumption</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Impact</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Validation action</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Status</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AS-001</w:t>
            </w:r>
          </w:p>
        </w:tc>
        <w:tc>
          <w:tcPr>
            <w:tcW w:type="dxa" w:w="2016"/>
            <w:vAlign w:val="center"/>
            <w:tcMar>
              <w:top w:w="80" w:type="dxa"/>
              <w:start w:w="80" w:type="dxa"/>
              <w:bottom w:w="80" w:type="dxa"/>
              <w:end w:w="80" w:type="dxa"/>
            </w:tcMar>
          </w:tcPr>
          <w:p>
            <w:pPr>
              <w:spacing w:after="0"/>
            </w:pPr>
            <w:r>
              <w:rPr>
                <w:rFonts w:ascii="Noto Sans" w:hAnsi="Noto Sans" w:eastAsia="Noto Sans"/>
                <w:sz w:val="16"/>
              </w:rPr>
              <w:t>Cooperatives experience material fragmentation across GIS, work orders, contractor records, field evidence, and documents.</w:t>
            </w:r>
          </w:p>
        </w:tc>
        <w:tc>
          <w:tcPr>
            <w:tcW w:type="dxa" w:w="2016"/>
            <w:vAlign w:val="center"/>
            <w:tcMar>
              <w:top w:w="80" w:type="dxa"/>
              <w:start w:w="80" w:type="dxa"/>
              <w:bottom w:w="80" w:type="dxa"/>
              <w:end w:w="80" w:type="dxa"/>
            </w:tcMar>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tcPr>
          <w:p>
            <w:pPr>
              <w:spacing w:after="0"/>
            </w:pPr>
            <w:r>
              <w:rPr>
                <w:rFonts w:ascii="Noto Sans" w:hAnsi="Noto Sans" w:eastAsia="Noto Sans"/>
                <w:sz w:val="16"/>
              </w:rPr>
              <w:t>Interview engineering, operations, GIS, broadband, and field leaders</w:t>
            </w:r>
          </w:p>
        </w:tc>
        <w:tc>
          <w:tcPr>
            <w:tcW w:type="dxa" w:w="2016"/>
            <w:vAlign w:val="center"/>
            <w:tcMar>
              <w:top w:w="80" w:type="dxa"/>
              <w:start w:w="80" w:type="dxa"/>
              <w:bottom w:w="80" w:type="dxa"/>
              <w:end w:w="80" w:type="dxa"/>
            </w:tcMar>
          </w:tcPr>
          <w:p>
            <w:pPr>
              <w:spacing w:after="0"/>
            </w:pPr>
            <w:r>
              <w:rPr>
                <w:rFonts w:ascii="Noto Sans" w:hAnsi="Noto Sans" w:eastAsia="Noto Sans"/>
                <w:sz w:val="16"/>
              </w:rPr>
              <w:t>Open</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AS-002</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At least one common problem can be solved with a repeatable product rather than custom consulting.</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Critical</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Compare five to ten cooperative interviews and workflows</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Open</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AS-003</w:t>
            </w:r>
          </w:p>
        </w:tc>
        <w:tc>
          <w:tcPr>
            <w:tcW w:type="dxa" w:w="2016"/>
            <w:vAlign w:val="center"/>
            <w:tcMar>
              <w:top w:w="80" w:type="dxa"/>
              <w:start w:w="80" w:type="dxa"/>
              <w:bottom w:w="80" w:type="dxa"/>
              <w:end w:w="80" w:type="dxa"/>
            </w:tcMar>
          </w:tcPr>
          <w:p>
            <w:pPr>
              <w:spacing w:after="0"/>
            </w:pPr>
            <w:r>
              <w:rPr>
                <w:rFonts w:ascii="Noto Sans" w:hAnsi="Noto Sans" w:eastAsia="Noto Sans"/>
                <w:sz w:val="16"/>
              </w:rPr>
              <w:t>A paid diagnostic or assessment is an acceptable entry offer.</w:t>
            </w:r>
          </w:p>
        </w:tc>
        <w:tc>
          <w:tcPr>
            <w:tcW w:type="dxa" w:w="2016"/>
            <w:vAlign w:val="center"/>
            <w:tcMar>
              <w:top w:w="80" w:type="dxa"/>
              <w:start w:w="80" w:type="dxa"/>
              <w:bottom w:w="80" w:type="dxa"/>
              <w:end w:w="80" w:type="dxa"/>
            </w:tcMar>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tcPr>
          <w:p>
            <w:pPr>
              <w:spacing w:after="0"/>
            </w:pPr>
            <w:r>
              <w:rPr>
                <w:rFonts w:ascii="Noto Sans" w:hAnsi="Noto Sans" w:eastAsia="Noto Sans"/>
                <w:sz w:val="16"/>
              </w:rPr>
              <w:t>Test proposed paid assessment with three cooperative leaders</w:t>
            </w:r>
          </w:p>
        </w:tc>
        <w:tc>
          <w:tcPr>
            <w:tcW w:type="dxa" w:w="2016"/>
            <w:vAlign w:val="center"/>
            <w:tcMar>
              <w:top w:w="80" w:type="dxa"/>
              <w:start w:w="80" w:type="dxa"/>
              <w:bottom w:w="80" w:type="dxa"/>
              <w:end w:w="80" w:type="dxa"/>
            </w:tcMar>
          </w:tcPr>
          <w:p>
            <w:pPr>
              <w:spacing w:after="0"/>
            </w:pPr>
            <w:r>
              <w:rPr>
                <w:rFonts w:ascii="Noto Sans" w:hAnsi="Noto Sans" w:eastAsia="Noto Sans"/>
                <w:sz w:val="16"/>
              </w:rPr>
              <w:t>Open</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AS-004</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Cooperatives can adopt a small pilot without enterprise-wide integration.</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Define a bounded file-based or API-light pilot</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Open</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AS-005</w:t>
            </w:r>
          </w:p>
        </w:tc>
        <w:tc>
          <w:tcPr>
            <w:tcW w:type="dxa" w:w="2016"/>
            <w:vAlign w:val="center"/>
            <w:tcMar>
              <w:top w:w="80" w:type="dxa"/>
              <w:start w:w="80" w:type="dxa"/>
              <w:bottom w:w="80" w:type="dxa"/>
              <w:end w:w="80" w:type="dxa"/>
            </w:tcMar>
          </w:tcPr>
          <w:p>
            <w:pPr>
              <w:spacing w:after="0"/>
            </w:pPr>
            <w:r>
              <w:rPr>
                <w:rFonts w:ascii="Noto Sans" w:hAnsi="Noto Sans" w:eastAsia="Noto Sans"/>
                <w:sz w:val="16"/>
              </w:rPr>
              <w:t>AnchorFiber is the best initial product expression.</w:t>
            </w:r>
          </w:p>
        </w:tc>
        <w:tc>
          <w:tcPr>
            <w:tcW w:type="dxa" w:w="2016"/>
            <w:vAlign w:val="center"/>
            <w:tcMar>
              <w:top w:w="80" w:type="dxa"/>
              <w:start w:w="80" w:type="dxa"/>
              <w:bottom w:w="80" w:type="dxa"/>
              <w:end w:w="80" w:type="dxa"/>
            </w:tcMar>
          </w:tcPr>
          <w:p>
            <w:pPr>
              <w:spacing w:after="0"/>
            </w:pPr>
            <w:r>
              <w:rPr>
                <w:rFonts w:ascii="Noto Sans" w:hAnsi="Noto Sans" w:eastAsia="Noto Sans"/>
                <w:sz w:val="16"/>
              </w:rPr>
              <w:t>Medium</w:t>
            </w:r>
          </w:p>
        </w:tc>
        <w:tc>
          <w:tcPr>
            <w:tcW w:type="dxa" w:w="2016"/>
            <w:vAlign w:val="center"/>
            <w:tcMar>
              <w:top w:w="80" w:type="dxa"/>
              <w:start w:w="80" w:type="dxa"/>
              <w:bottom w:w="80" w:type="dxa"/>
              <w:end w:w="80" w:type="dxa"/>
            </w:tcMar>
          </w:tcPr>
          <w:p>
            <w:pPr>
              <w:spacing w:after="0"/>
            </w:pPr>
            <w:r>
              <w:rPr>
                <w:rFonts w:ascii="Noto Sans" w:hAnsi="Noto Sans" w:eastAsia="Noto Sans"/>
                <w:sz w:val="16"/>
              </w:rPr>
              <w:t>Compare broadband, electric asset, documentation, and field-intelligence pain</w:t>
            </w:r>
          </w:p>
        </w:tc>
        <w:tc>
          <w:tcPr>
            <w:tcW w:type="dxa" w:w="2016"/>
            <w:vAlign w:val="center"/>
            <w:tcMar>
              <w:top w:w="80" w:type="dxa"/>
              <w:start w:w="80" w:type="dxa"/>
              <w:bottom w:w="80" w:type="dxa"/>
              <w:end w:w="80" w:type="dxa"/>
            </w:tcMar>
          </w:tcPr>
          <w:p>
            <w:pPr>
              <w:spacing w:after="0"/>
            </w:pPr>
            <w:r>
              <w:rPr>
                <w:rFonts w:ascii="Noto Sans" w:hAnsi="Noto Sans" w:eastAsia="Noto Sans"/>
                <w:sz w:val="16"/>
              </w:rPr>
              <w:t>Open</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AS-006</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Texas and District 10 provide sufficient early-market density and relationship access.</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Medium</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Map member organizations and relevant associations</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Supported</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AS-007</w:t>
            </w:r>
          </w:p>
        </w:tc>
        <w:tc>
          <w:tcPr>
            <w:tcW w:type="dxa" w:w="2016"/>
            <w:vAlign w:val="center"/>
            <w:tcMar>
              <w:top w:w="80" w:type="dxa"/>
              <w:start w:w="80" w:type="dxa"/>
              <w:bottom w:w="80" w:type="dxa"/>
              <w:end w:w="80" w:type="dxa"/>
            </w:tcMar>
          </w:tcPr>
          <w:p>
            <w:pPr>
              <w:spacing w:after="0"/>
            </w:pPr>
            <w:r>
              <w:rPr>
                <w:rFonts w:ascii="Noto Sans" w:hAnsi="Noto Sans" w:eastAsia="Noto Sans"/>
                <w:sz w:val="16"/>
              </w:rPr>
              <w:t>NRECA supplier, conference, work-group, or education channels are accessible to a small entrant.</w:t>
            </w:r>
          </w:p>
        </w:tc>
        <w:tc>
          <w:tcPr>
            <w:tcW w:type="dxa" w:w="2016"/>
            <w:vAlign w:val="center"/>
            <w:tcMar>
              <w:top w:w="80" w:type="dxa"/>
              <w:start w:w="80" w:type="dxa"/>
              <w:bottom w:w="80" w:type="dxa"/>
              <w:end w:w="80" w:type="dxa"/>
            </w:tcMar>
          </w:tcPr>
          <w:p>
            <w:pPr>
              <w:spacing w:after="0"/>
            </w:pPr>
            <w:r>
              <w:rPr>
                <w:rFonts w:ascii="Noto Sans" w:hAnsi="Noto Sans" w:eastAsia="Noto Sans"/>
                <w:sz w:val="16"/>
              </w:rPr>
              <w:t>Medium</w:t>
            </w:r>
          </w:p>
        </w:tc>
        <w:tc>
          <w:tcPr>
            <w:tcW w:type="dxa" w:w="2016"/>
            <w:vAlign w:val="center"/>
            <w:tcMar>
              <w:top w:w="80" w:type="dxa"/>
              <w:start w:w="80" w:type="dxa"/>
              <w:bottom w:w="80" w:type="dxa"/>
              <w:end w:w="80" w:type="dxa"/>
            </w:tcMar>
          </w:tcPr>
          <w:p>
            <w:pPr>
              <w:spacing w:after="0"/>
            </w:pPr>
            <w:r>
              <w:rPr>
                <w:rFonts w:ascii="Noto Sans" w:hAnsi="Noto Sans" w:eastAsia="Noto Sans"/>
                <w:sz w:val="16"/>
              </w:rPr>
              <w:t>Research eligibility, cost, timing, and participation requirements</w:t>
            </w:r>
          </w:p>
        </w:tc>
        <w:tc>
          <w:tcPr>
            <w:tcW w:type="dxa" w:w="2016"/>
            <w:vAlign w:val="center"/>
            <w:tcMar>
              <w:top w:w="80" w:type="dxa"/>
              <w:start w:w="80" w:type="dxa"/>
              <w:bottom w:w="80" w:type="dxa"/>
              <w:end w:w="80" w:type="dxa"/>
            </w:tcMar>
          </w:tcPr>
          <w:p>
            <w:pPr>
              <w:spacing w:after="0"/>
            </w:pPr>
            <w:r>
              <w:rPr>
                <w:rFonts w:ascii="Noto Sans" w:hAnsi="Noto Sans" w:eastAsia="Noto Sans"/>
                <w:sz w:val="16"/>
              </w:rPr>
              <w:t>Open</w:t>
            </w:r>
          </w:p>
        </w:tc>
      </w:tr>
    </w:tbl>
    <w:p>
      <w:pPr>
        <w:pStyle w:val="Heading1"/>
        <w:spacing w:after="80"/>
      </w:pPr>
      <w:r>
        <w:t>7. Risk Assessment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ID</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Risk</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Likelihood</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Impact</w:t>
            </w:r>
          </w:p>
        </w:tc>
        <w:tc>
          <w:tcPr>
            <w:tcW w:type="dxa" w:w="2016"/>
            <w:vAlign w:val="center"/>
            <w:tcMar>
              <w:top w:w="80" w:type="dxa"/>
              <w:start w:w="80" w:type="dxa"/>
              <w:bottom w:w="80" w:type="dxa"/>
              <w:end w:w="80" w:type="dxa"/>
            </w:tcMar>
            <w:shd w:fill="1F4E78"/>
          </w:tcPr>
          <w:p>
            <w:pPr>
              <w:spacing w:after="0"/>
            </w:pPr>
            <w:r>
              <w:rPr>
                <w:rFonts w:ascii="Noto Sans" w:hAnsi="Noto Sans" w:eastAsia="Noto Sans"/>
                <w:b/>
                <w:color w:val="FFFFFF"/>
                <w:sz w:val="16"/>
              </w:rPr>
              <w:t>Mitigation</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R-001</w:t>
            </w:r>
          </w:p>
        </w:tc>
        <w:tc>
          <w:tcPr>
            <w:tcW w:type="dxa" w:w="2016"/>
            <w:vAlign w:val="center"/>
            <w:tcMar>
              <w:top w:w="80" w:type="dxa"/>
              <w:start w:w="80" w:type="dxa"/>
              <w:bottom w:w="80" w:type="dxa"/>
              <w:end w:w="80" w:type="dxa"/>
            </w:tcMar>
          </w:tcPr>
          <w:p>
            <w:pPr>
              <w:spacing w:after="0"/>
            </w:pPr>
            <w:r>
              <w:rPr>
                <w:rFonts w:ascii="Noto Sans" w:hAnsi="Noto Sans" w:eastAsia="Noto Sans"/>
                <w:sz w:val="16"/>
              </w:rPr>
              <w:t>Building before customer validation</w:t>
            </w:r>
          </w:p>
        </w:tc>
        <w:tc>
          <w:tcPr>
            <w:tcW w:type="dxa" w:w="2016"/>
            <w:vAlign w:val="center"/>
            <w:tcMar>
              <w:top w:w="80" w:type="dxa"/>
              <w:start w:w="80" w:type="dxa"/>
              <w:bottom w:w="80" w:type="dxa"/>
              <w:end w:w="80" w:type="dxa"/>
            </w:tcMar>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tcPr>
          <w:p>
            <w:pPr>
              <w:spacing w:after="0"/>
            </w:pPr>
            <w:r>
              <w:rPr>
                <w:rFonts w:ascii="Noto Sans" w:hAnsi="Noto Sans" w:eastAsia="Noto Sans"/>
                <w:sz w:val="16"/>
              </w:rPr>
              <w:t>Freeze major product expansion until interviews and pilot scope validate demand</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R-002</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Long utility sales and procurement cycle</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Lead with research, paid assessment, or partner-supported pilot</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R-003</w:t>
            </w:r>
          </w:p>
        </w:tc>
        <w:tc>
          <w:tcPr>
            <w:tcW w:type="dxa" w:w="2016"/>
            <w:vAlign w:val="center"/>
            <w:tcMar>
              <w:top w:w="80" w:type="dxa"/>
              <w:start w:w="80" w:type="dxa"/>
              <w:bottom w:w="80" w:type="dxa"/>
              <w:end w:w="80" w:type="dxa"/>
            </w:tcMar>
          </w:tcPr>
          <w:p>
            <w:pPr>
              <w:spacing w:after="0"/>
            </w:pPr>
            <w:r>
              <w:rPr>
                <w:rFonts w:ascii="Noto Sans" w:hAnsi="Noto Sans" w:eastAsia="Noto Sans"/>
                <w:sz w:val="16"/>
              </w:rPr>
              <w:t>Incumbent vendor overlap</w:t>
            </w:r>
          </w:p>
        </w:tc>
        <w:tc>
          <w:tcPr>
            <w:tcW w:type="dxa" w:w="2016"/>
            <w:vAlign w:val="center"/>
            <w:tcMar>
              <w:top w:w="80" w:type="dxa"/>
              <w:start w:w="80" w:type="dxa"/>
              <w:bottom w:w="80" w:type="dxa"/>
              <w:end w:w="80" w:type="dxa"/>
            </w:tcMar>
          </w:tcPr>
          <w:p>
            <w:pPr>
              <w:spacing w:after="0"/>
            </w:pPr>
            <w:r>
              <w:rPr>
                <w:rFonts w:ascii="Noto Sans" w:hAnsi="Noto Sans" w:eastAsia="Noto Sans"/>
                <w:sz w:val="16"/>
              </w:rPr>
              <w:t>Medium</w:t>
            </w:r>
          </w:p>
        </w:tc>
        <w:tc>
          <w:tcPr>
            <w:tcW w:type="dxa" w:w="2016"/>
            <w:vAlign w:val="center"/>
            <w:tcMar>
              <w:top w:w="80" w:type="dxa"/>
              <w:start w:w="80" w:type="dxa"/>
              <w:bottom w:w="80" w:type="dxa"/>
              <w:end w:w="80" w:type="dxa"/>
            </w:tcMar>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tcPr>
          <w:p>
            <w:pPr>
              <w:spacing w:after="0"/>
            </w:pPr>
            <w:r>
              <w:rPr>
                <w:rFonts w:ascii="Noto Sans" w:hAnsi="Noto Sans" w:eastAsia="Noto Sans"/>
                <w:sz w:val="16"/>
              </w:rPr>
              <w:t>Map competing systems and define a complementary seam</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R-004</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Integration burden</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Start with bounded data inputs and minimal integration</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R-005</w:t>
            </w:r>
          </w:p>
        </w:tc>
        <w:tc>
          <w:tcPr>
            <w:tcW w:type="dxa" w:w="2016"/>
            <w:vAlign w:val="center"/>
            <w:tcMar>
              <w:top w:w="80" w:type="dxa"/>
              <w:start w:w="80" w:type="dxa"/>
              <w:bottom w:w="80" w:type="dxa"/>
              <w:end w:w="80" w:type="dxa"/>
            </w:tcMar>
          </w:tcPr>
          <w:p>
            <w:pPr>
              <w:spacing w:after="0"/>
            </w:pPr>
            <w:r>
              <w:rPr>
                <w:rFonts w:ascii="Noto Sans" w:hAnsi="Noto Sans" w:eastAsia="Noto Sans"/>
                <w:sz w:val="16"/>
              </w:rPr>
              <w:t>Cybersecurity and critical-infrastructure concerns</w:t>
            </w:r>
          </w:p>
        </w:tc>
        <w:tc>
          <w:tcPr>
            <w:tcW w:type="dxa" w:w="2016"/>
            <w:vAlign w:val="center"/>
            <w:tcMar>
              <w:top w:w="80" w:type="dxa"/>
              <w:start w:w="80" w:type="dxa"/>
              <w:bottom w:w="80" w:type="dxa"/>
              <w:end w:w="80" w:type="dxa"/>
            </w:tcMar>
          </w:tcPr>
          <w:p>
            <w:pPr>
              <w:spacing w:after="0"/>
            </w:pPr>
            <w:r>
              <w:rPr>
                <w:rFonts w:ascii="Noto Sans" w:hAnsi="Noto Sans" w:eastAsia="Noto Sans"/>
                <w:sz w:val="16"/>
              </w:rPr>
              <w:t>Medium</w:t>
            </w:r>
          </w:p>
        </w:tc>
        <w:tc>
          <w:tcPr>
            <w:tcW w:type="dxa" w:w="2016"/>
            <w:vAlign w:val="center"/>
            <w:tcMar>
              <w:top w:w="80" w:type="dxa"/>
              <w:start w:w="80" w:type="dxa"/>
              <w:bottom w:w="80" w:type="dxa"/>
              <w:end w:w="80" w:type="dxa"/>
            </w:tcMar>
          </w:tcPr>
          <w:p>
            <w:pPr>
              <w:spacing w:after="0"/>
            </w:pPr>
            <w:r>
              <w:rPr>
                <w:rFonts w:ascii="Noto Sans" w:hAnsi="Noto Sans" w:eastAsia="Noto Sans"/>
                <w:sz w:val="16"/>
              </w:rPr>
              <w:t>Critical</w:t>
            </w:r>
          </w:p>
        </w:tc>
        <w:tc>
          <w:tcPr>
            <w:tcW w:type="dxa" w:w="2016"/>
            <w:vAlign w:val="center"/>
            <w:tcMar>
              <w:top w:w="80" w:type="dxa"/>
              <w:start w:w="80" w:type="dxa"/>
              <w:bottom w:w="80" w:type="dxa"/>
              <w:end w:w="80" w:type="dxa"/>
            </w:tcMar>
          </w:tcPr>
          <w:p>
            <w:pPr>
              <w:spacing w:after="0"/>
            </w:pPr>
            <w:r>
              <w:rPr>
                <w:rFonts w:ascii="Noto Sans" w:hAnsi="Noto Sans" w:eastAsia="Noto Sans"/>
                <w:sz w:val="16"/>
              </w:rPr>
              <w:t>Design security, data handling, and deployment constraints before pilot</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R-006</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Insufficient cooperative references</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Secure one local validation partner and document evidence</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R-007</w:t>
            </w:r>
          </w:p>
        </w:tc>
        <w:tc>
          <w:tcPr>
            <w:tcW w:type="dxa" w:w="2016"/>
            <w:vAlign w:val="center"/>
            <w:tcMar>
              <w:top w:w="80" w:type="dxa"/>
              <w:start w:w="80" w:type="dxa"/>
              <w:bottom w:w="80" w:type="dxa"/>
              <w:end w:w="80" w:type="dxa"/>
            </w:tcMar>
          </w:tcPr>
          <w:p>
            <w:pPr>
              <w:spacing w:after="0"/>
            </w:pPr>
            <w:r>
              <w:rPr>
                <w:rFonts w:ascii="Noto Sans" w:hAnsi="Noto Sans" w:eastAsia="Noto Sans"/>
                <w:sz w:val="16"/>
              </w:rPr>
              <w:t>Overly broad product positioning</w:t>
            </w:r>
          </w:p>
        </w:tc>
        <w:tc>
          <w:tcPr>
            <w:tcW w:type="dxa" w:w="2016"/>
            <w:vAlign w:val="center"/>
            <w:tcMar>
              <w:top w:w="80" w:type="dxa"/>
              <w:start w:w="80" w:type="dxa"/>
              <w:bottom w:w="80" w:type="dxa"/>
              <w:end w:w="80" w:type="dxa"/>
            </w:tcMar>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tcPr>
          <w:p>
            <w:pPr>
              <w:spacing w:after="0"/>
            </w:pPr>
            <w:r>
              <w:rPr>
                <w:rFonts w:ascii="Noto Sans" w:hAnsi="Noto Sans" w:eastAsia="Noto Sans"/>
                <w:sz w:val="16"/>
              </w:rPr>
              <w:t>Choose one expensive, repeatable problem and one buyer</w:t>
            </w:r>
          </w:p>
        </w:tc>
      </w:tr>
      <w:tr>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R-008</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Member-value mismatch</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Medium</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shd w:fill="EAF1F7"/>
          </w:tcPr>
          <w:p>
            <w:pPr>
              <w:spacing w:after="0"/>
            </w:pPr>
            <w:r>
              <w:rPr>
                <w:rFonts w:ascii="Noto Sans" w:hAnsi="Noto Sans" w:eastAsia="Noto Sans"/>
                <w:sz w:val="16"/>
              </w:rPr>
              <w:t>Frame value in affordability, reliability, stewardship, and community outcomes</w:t>
            </w:r>
          </w:p>
        </w:tc>
      </w:tr>
      <w:tr>
        <w:tc>
          <w:tcPr>
            <w:tcW w:type="dxa" w:w="2016"/>
            <w:vAlign w:val="center"/>
            <w:tcMar>
              <w:top w:w="80" w:type="dxa"/>
              <w:start w:w="80" w:type="dxa"/>
              <w:bottom w:w="80" w:type="dxa"/>
              <w:end w:w="80" w:type="dxa"/>
            </w:tcMar>
          </w:tcPr>
          <w:p>
            <w:pPr>
              <w:spacing w:after="0"/>
            </w:pPr>
            <w:r>
              <w:rPr>
                <w:rFonts w:ascii="Noto Sans" w:hAnsi="Noto Sans" w:eastAsia="Noto Sans"/>
                <w:sz w:val="16"/>
              </w:rPr>
              <w:t>R-009</w:t>
            </w:r>
          </w:p>
        </w:tc>
        <w:tc>
          <w:tcPr>
            <w:tcW w:type="dxa" w:w="2016"/>
            <w:vAlign w:val="center"/>
            <w:tcMar>
              <w:top w:w="80" w:type="dxa"/>
              <w:start w:w="80" w:type="dxa"/>
              <w:bottom w:w="80" w:type="dxa"/>
              <w:end w:w="80" w:type="dxa"/>
            </w:tcMar>
          </w:tcPr>
          <w:p>
            <w:pPr>
              <w:spacing w:after="0"/>
            </w:pPr>
            <w:r>
              <w:rPr>
                <w:rFonts w:ascii="Noto Sans" w:hAnsi="Noto Sans" w:eastAsia="Noto Sans"/>
                <w:sz w:val="16"/>
              </w:rPr>
              <w:t>Founder capacity constraints</w:t>
            </w:r>
          </w:p>
        </w:tc>
        <w:tc>
          <w:tcPr>
            <w:tcW w:type="dxa" w:w="2016"/>
            <w:vAlign w:val="center"/>
            <w:tcMar>
              <w:top w:w="80" w:type="dxa"/>
              <w:start w:w="80" w:type="dxa"/>
              <w:bottom w:w="80" w:type="dxa"/>
              <w:end w:w="80" w:type="dxa"/>
            </w:tcMar>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tcPr>
          <w:p>
            <w:pPr>
              <w:spacing w:after="0"/>
            </w:pPr>
            <w:r>
              <w:rPr>
                <w:rFonts w:ascii="Noto Sans" w:hAnsi="Noto Sans" w:eastAsia="Noto Sans"/>
                <w:sz w:val="16"/>
              </w:rPr>
              <w:t>High</w:t>
            </w:r>
          </w:p>
        </w:tc>
        <w:tc>
          <w:tcPr>
            <w:tcW w:type="dxa" w:w="2016"/>
            <w:vAlign w:val="center"/>
            <w:tcMar>
              <w:top w:w="80" w:type="dxa"/>
              <w:start w:w="80" w:type="dxa"/>
              <w:bottom w:w="80" w:type="dxa"/>
              <w:end w:w="80" w:type="dxa"/>
            </w:tcMar>
          </w:tcPr>
          <w:p>
            <w:pPr>
              <w:spacing w:after="0"/>
            </w:pPr>
            <w:r>
              <w:rPr>
                <w:rFonts w:ascii="Noto Sans" w:hAnsi="Noto Sans" w:eastAsia="Noto Sans"/>
                <w:sz w:val="16"/>
              </w:rPr>
              <w:t>Limit work to one assessment, one interview program, and one pilot concept</w:t>
            </w:r>
          </w:p>
        </w:tc>
      </w:tr>
    </w:tbl>
    <w:p>
      <w:pPr>
        <w:pStyle w:val="Heading1"/>
        <w:spacing w:after="80"/>
      </w:pPr>
      <w:r>
        <w:t>8. Decision Outcome and Pursuit Gates</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40" w:type="dxa"/>
              <w:bottom w:w="120" w:type="dxa"/>
              <w:end w:w="140" w:type="dxa"/>
            </w:tcMar>
          </w:tcPr>
          <w:p>
            <w:r>
              <w:rPr>
                <w:b/>
                <w:color w:val="18334F"/>
              </w:rPr>
              <w:t>Final outcome for this draft: VALIDATE</w:t>
              <w:br/>
            </w:r>
            <w:r>
              <w:t>The score of 29/40 falls within the COF-101A Validate band. The market should remain in Investigating state until direct problem evidence, buyer evidence, willingness-to-pay evidence, delivery feasibility, and a plausible pilot path are established.</w:t>
            </w:r>
          </w:p>
        </w:tc>
      </w:tr>
    </w:tbl>
    <w:p>
      <w:pPr>
        <w:spacing w:after="80"/>
      </w:pP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Mandatory Pursuit Gate</w:t>
            </w:r>
          </w:p>
        </w:tc>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Status</w:t>
            </w:r>
          </w:p>
        </w:tc>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Evidence / gap</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Market Need &gt;= 3</w:t>
            </w:r>
          </w:p>
        </w:tc>
        <w:tc>
          <w:tcPr>
            <w:tcW w:type="dxa" w:w="3360"/>
            <w:vAlign w:val="center"/>
            <w:tcMar>
              <w:top w:w="80" w:type="dxa"/>
              <w:start w:w="80" w:type="dxa"/>
              <w:bottom w:w="80" w:type="dxa"/>
              <w:end w:w="80" w:type="dxa"/>
            </w:tcMar>
          </w:tcPr>
          <w:p>
            <w:pPr>
              <w:spacing w:after="0"/>
            </w:pPr>
            <w:r>
              <w:rPr>
                <w:rFonts w:ascii="Noto Sans" w:hAnsi="Noto Sans" w:eastAsia="Noto Sans"/>
                <w:sz w:val="16"/>
              </w:rPr>
              <w:t>PASS</w:t>
            </w:r>
          </w:p>
        </w:tc>
        <w:tc>
          <w:tcPr>
            <w:tcW w:type="dxa" w:w="3360"/>
            <w:vAlign w:val="center"/>
            <w:tcMar>
              <w:top w:w="80" w:type="dxa"/>
              <w:start w:w="80" w:type="dxa"/>
              <w:bottom w:w="80" w:type="dxa"/>
              <w:end w:w="80" w:type="dxa"/>
            </w:tcMar>
          </w:tcPr>
          <w:p>
            <w:pPr>
              <w:spacing w:after="0"/>
            </w:pPr>
            <w:r>
              <w:rPr>
                <w:rFonts w:ascii="Noto Sans" w:hAnsi="Noto Sans" w:eastAsia="Noto Sans"/>
                <w:sz w:val="16"/>
              </w:rPr>
              <w:t>Structural evidence supports 4/5</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Strategic Alignment &gt;= 3</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PASS</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Assessment supports 5/5</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Revenue Potential &gt;= 3</w:t>
            </w:r>
          </w:p>
        </w:tc>
        <w:tc>
          <w:tcPr>
            <w:tcW w:type="dxa" w:w="3360"/>
            <w:vAlign w:val="center"/>
            <w:tcMar>
              <w:top w:w="80" w:type="dxa"/>
              <w:start w:w="80" w:type="dxa"/>
              <w:bottom w:w="80" w:type="dxa"/>
              <w:end w:w="80" w:type="dxa"/>
            </w:tcMar>
          </w:tcPr>
          <w:p>
            <w:pPr>
              <w:spacing w:after="0"/>
            </w:pPr>
            <w:r>
              <w:rPr>
                <w:rFonts w:ascii="Noto Sans" w:hAnsi="Noto Sans" w:eastAsia="Noto Sans"/>
                <w:sz w:val="16"/>
              </w:rPr>
              <w:t>PASS - provisional</w:t>
            </w:r>
          </w:p>
        </w:tc>
        <w:tc>
          <w:tcPr>
            <w:tcW w:type="dxa" w:w="3360"/>
            <w:vAlign w:val="center"/>
            <w:tcMar>
              <w:top w:w="80" w:type="dxa"/>
              <w:start w:w="80" w:type="dxa"/>
              <w:bottom w:w="80" w:type="dxa"/>
              <w:end w:w="80" w:type="dxa"/>
            </w:tcMar>
          </w:tcPr>
          <w:p>
            <w:pPr>
              <w:spacing w:after="0"/>
            </w:pPr>
            <w:r>
              <w:rPr>
                <w:rFonts w:ascii="Noto Sans" w:hAnsi="Noto Sans" w:eastAsia="Noto Sans"/>
                <w:sz w:val="16"/>
              </w:rPr>
              <w:t>4/5, but willingness to pay is unknown</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Technical Readiness &gt;= 3</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PASS - provisional</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3/5 for bounded pilot only</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No criterion scored 0</w:t>
            </w:r>
          </w:p>
        </w:tc>
        <w:tc>
          <w:tcPr>
            <w:tcW w:type="dxa" w:w="3360"/>
            <w:vAlign w:val="center"/>
            <w:tcMar>
              <w:top w:w="80" w:type="dxa"/>
              <w:start w:w="80" w:type="dxa"/>
              <w:bottom w:w="80" w:type="dxa"/>
              <w:end w:w="80" w:type="dxa"/>
            </w:tcMar>
          </w:tcPr>
          <w:p>
            <w:pPr>
              <w:spacing w:after="0"/>
            </w:pPr>
            <w:r>
              <w:rPr>
                <w:rFonts w:ascii="Noto Sans" w:hAnsi="Noto Sans" w:eastAsia="Noto Sans"/>
                <w:sz w:val="16"/>
              </w:rPr>
              <w:t>PASS</w:t>
            </w:r>
          </w:p>
        </w:tc>
        <w:tc>
          <w:tcPr>
            <w:tcW w:type="dxa" w:w="3360"/>
            <w:vAlign w:val="center"/>
            <w:tcMar>
              <w:top w:w="80" w:type="dxa"/>
              <w:start w:w="80" w:type="dxa"/>
              <w:bottom w:w="80" w:type="dxa"/>
              <w:end w:w="80" w:type="dxa"/>
            </w:tcMar>
          </w:tcPr>
          <w:p>
            <w:pPr>
              <w:spacing w:after="0"/>
            </w:pPr>
            <w:r>
              <w:rPr>
                <w:rFonts w:ascii="Noto Sans" w:hAnsi="Noto Sans" w:eastAsia="Noto Sans"/>
                <w:sz w:val="16"/>
              </w:rPr>
              <w:t>Lowest score is 2</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Not based primarily on assumptions</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PASS for Validate</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Pursue still blocked by key unknowns</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Credible buyer/customer source confirms problem</w:t>
            </w:r>
          </w:p>
        </w:tc>
        <w:tc>
          <w:tcPr>
            <w:tcW w:type="dxa" w:w="3360"/>
            <w:vAlign w:val="center"/>
            <w:tcMar>
              <w:top w:w="80" w:type="dxa"/>
              <w:start w:w="80" w:type="dxa"/>
              <w:bottom w:w="80" w:type="dxa"/>
              <w:end w:w="80" w:type="dxa"/>
            </w:tcMar>
          </w:tcPr>
          <w:p>
            <w:pPr>
              <w:spacing w:after="0"/>
            </w:pPr>
            <w:r>
              <w:rPr>
                <w:rFonts w:ascii="Noto Sans" w:hAnsi="Noto Sans" w:eastAsia="Noto Sans"/>
                <w:sz w:val="16"/>
              </w:rPr>
              <w:t>FAIL</w:t>
            </w:r>
          </w:p>
        </w:tc>
        <w:tc>
          <w:tcPr>
            <w:tcW w:type="dxa" w:w="3360"/>
            <w:vAlign w:val="center"/>
            <w:tcMar>
              <w:top w:w="80" w:type="dxa"/>
              <w:start w:w="80" w:type="dxa"/>
              <w:bottom w:w="80" w:type="dxa"/>
              <w:end w:w="80" w:type="dxa"/>
            </w:tcMar>
          </w:tcPr>
          <w:p>
            <w:pPr>
              <w:spacing w:after="0"/>
            </w:pPr>
            <w:r>
              <w:rPr>
                <w:rFonts w:ascii="Noto Sans" w:hAnsi="Noto Sans" w:eastAsia="Noto Sans"/>
                <w:sz w:val="16"/>
              </w:rPr>
              <w:t>No direct interview evidence yet</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Plausible path to pilot or paid assessment</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FAIL</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Concept only</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Investment within approved constraints</w:t>
            </w:r>
          </w:p>
        </w:tc>
        <w:tc>
          <w:tcPr>
            <w:tcW w:type="dxa" w:w="3360"/>
            <w:vAlign w:val="center"/>
            <w:tcMar>
              <w:top w:w="80" w:type="dxa"/>
              <w:start w:w="80" w:type="dxa"/>
              <w:bottom w:w="80" w:type="dxa"/>
              <w:end w:w="80" w:type="dxa"/>
            </w:tcMar>
          </w:tcPr>
          <w:p>
            <w:pPr>
              <w:spacing w:after="0"/>
            </w:pPr>
            <w:r>
              <w:rPr>
                <w:rFonts w:ascii="Noto Sans" w:hAnsi="Noto Sans" w:eastAsia="Noto Sans"/>
                <w:sz w:val="16"/>
              </w:rPr>
              <w:t>UNKNOWN</w:t>
            </w:r>
          </w:p>
        </w:tc>
        <w:tc>
          <w:tcPr>
            <w:tcW w:type="dxa" w:w="3360"/>
            <w:vAlign w:val="center"/>
            <w:tcMar>
              <w:top w:w="80" w:type="dxa"/>
              <w:start w:w="80" w:type="dxa"/>
              <w:bottom w:w="80" w:type="dxa"/>
              <w:end w:w="80" w:type="dxa"/>
            </w:tcMar>
          </w:tcPr>
          <w:p>
            <w:pPr>
              <w:spacing w:after="0"/>
            </w:pPr>
            <w:r>
              <w:rPr>
                <w:rFonts w:ascii="Noto Sans" w:hAnsi="Noto Sans" w:eastAsia="Noto Sans"/>
                <w:sz w:val="16"/>
              </w:rPr>
              <w:t>Scope and budget not yet defined</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Executive approval</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PENDING</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Required after validation package</w:t>
            </w:r>
          </w:p>
        </w:tc>
      </w:tr>
    </w:tbl>
    <w:p>
      <w:pPr>
        <w:pStyle w:val="Heading1"/>
        <w:spacing w:after="80"/>
      </w:pPr>
      <w:r>
        <w:t>9. Validation Plan</w:t>
      </w:r>
    </w:p>
    <w:p>
      <w:pPr>
        <w:spacing w:after="80"/>
      </w:pPr>
      <w:r>
        <w:t>The assessment SHALL advance only through evidence-producing actions. The following 30-day validation sequence is recommended: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80" w:type="dxa"/>
              <w:bottom w:w="80" w:type="dxa"/>
              <w:end w:w="80" w:type="dxa"/>
            </w:tcMar>
            <w:shd w:fill="1F4E78"/>
          </w:tcPr>
          <w:p>
            <w:pPr>
              <w:spacing w:after="0"/>
            </w:pPr>
            <w:r>
              <w:rPr>
                <w:rFonts w:ascii="Noto Sans" w:hAnsi="Noto Sans" w:eastAsia="Noto Sans"/>
                <w:b/>
                <w:color w:val="FFFFFF"/>
                <w:sz w:val="16"/>
              </w:rPr>
              <w:t>Action</w:t>
            </w:r>
          </w:p>
        </w:tc>
        <w:tc>
          <w:tcPr>
            <w:tcW w:type="dxa" w:w="5040"/>
            <w:vAlign w:val="center"/>
            <w:tcMar>
              <w:top w:w="80" w:type="dxa"/>
              <w:start w:w="80" w:type="dxa"/>
              <w:bottom w:w="80" w:type="dxa"/>
              <w:end w:w="80" w:type="dxa"/>
            </w:tcMar>
            <w:shd w:fill="1F4E78"/>
          </w:tcPr>
          <w:p>
            <w:pPr>
              <w:spacing w:after="0"/>
            </w:pPr>
            <w:r>
              <w:rPr>
                <w:rFonts w:ascii="Noto Sans" w:hAnsi="Noto Sans" w:eastAsia="Noto Sans"/>
                <w:b/>
                <w:color w:val="FFFFFF"/>
                <w:sz w:val="16"/>
              </w:rPr>
              <w:t>Required output</w:t>
            </w:r>
          </w:p>
        </w:tc>
      </w:tr>
      <w:tr>
        <w:tc>
          <w:tcPr>
            <w:tcW w:type="dxa" w:w="5040"/>
            <w:vAlign w:val="center"/>
            <w:tcMar>
              <w:top w:w="80" w:type="dxa"/>
              <w:start w:w="80" w:type="dxa"/>
              <w:bottom w:w="80" w:type="dxa"/>
              <w:end w:w="80" w:type="dxa"/>
            </w:tcMar>
          </w:tcPr>
          <w:p>
            <w:pPr>
              <w:spacing w:after="0"/>
            </w:pPr>
            <w:r>
              <w:rPr>
                <w:rFonts w:ascii="Noto Sans" w:hAnsi="Noto Sans" w:eastAsia="Noto Sans"/>
                <w:sz w:val="16"/>
              </w:rPr>
              <w:t>Week 1 - Ecosystem mapping</w:t>
            </w:r>
          </w:p>
        </w:tc>
        <w:tc>
          <w:tcPr>
            <w:tcW w:type="dxa" w:w="5040"/>
            <w:vAlign w:val="center"/>
            <w:tcMar>
              <w:top w:w="80" w:type="dxa"/>
              <w:start w:w="80" w:type="dxa"/>
              <w:bottom w:w="80" w:type="dxa"/>
              <w:end w:w="80" w:type="dxa"/>
            </w:tcMar>
          </w:tcPr>
          <w:p>
            <w:pPr>
              <w:spacing w:after="0"/>
            </w:pPr>
            <w:r>
              <w:rPr>
                <w:rFonts w:ascii="Noto Sans" w:hAnsi="Noto Sans" w:eastAsia="Noto Sans"/>
                <w:sz w:val="16"/>
              </w:rPr>
              <w:t>Build a Texas and District 10 cooperative list; classify distribution co-ops, G&amp;Ts, broadband operators, service organizations, engineering partners, and technology vendors.</w:t>
            </w:r>
          </w:p>
        </w:tc>
      </w:tr>
      <w:tr>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Week 1-2 - Interview preparation</w:t>
            </w:r>
          </w:p>
        </w:tc>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Create a ten-question problem interview focused on field information, asset documentation, inspections, contractor closeout, GIS/work-order seams, maintenance prioritization, and capital evidence.</w:t>
            </w:r>
          </w:p>
        </w:tc>
      </w:tr>
      <w:tr>
        <w:tc>
          <w:tcPr>
            <w:tcW w:type="dxa" w:w="5040"/>
            <w:vAlign w:val="center"/>
            <w:tcMar>
              <w:top w:w="80" w:type="dxa"/>
              <w:start w:w="80" w:type="dxa"/>
              <w:bottom w:w="80" w:type="dxa"/>
              <w:end w:w="80" w:type="dxa"/>
            </w:tcMar>
          </w:tcPr>
          <w:p>
            <w:pPr>
              <w:spacing w:after="0"/>
            </w:pPr>
            <w:r>
              <w:rPr>
                <w:rFonts w:ascii="Noto Sans" w:hAnsi="Noto Sans" w:eastAsia="Noto Sans"/>
                <w:sz w:val="16"/>
              </w:rPr>
              <w:t>Week 2-3 - Five practitioner interviews</w:t>
            </w:r>
          </w:p>
        </w:tc>
        <w:tc>
          <w:tcPr>
            <w:tcW w:type="dxa" w:w="5040"/>
            <w:vAlign w:val="center"/>
            <w:tcMar>
              <w:top w:w="80" w:type="dxa"/>
              <w:start w:w="80" w:type="dxa"/>
              <w:bottom w:w="80" w:type="dxa"/>
              <w:end w:w="80" w:type="dxa"/>
            </w:tcMar>
          </w:tcPr>
          <w:p>
            <w:pPr>
              <w:spacing w:after="0"/>
            </w:pPr>
            <w:r>
              <w:rPr>
                <w:rFonts w:ascii="Noto Sans" w:hAnsi="Noto Sans" w:eastAsia="Noto Sans"/>
                <w:sz w:val="16"/>
              </w:rPr>
              <w:t>Conduct at least five conversations with cooperative engineering, operations, GIS, broadband, technology, or contractor leaders. Do not pitch a finished product.</w:t>
            </w:r>
          </w:p>
        </w:tc>
      </w:tr>
      <w:tr>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Week 3 - Problem pattern analysis</w:t>
            </w:r>
          </w:p>
        </w:tc>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Identify repeated expensive problems, current workarounds, buyer roles, existing systems, procurement barriers, and measurable outcomes.</w:t>
            </w:r>
          </w:p>
        </w:tc>
      </w:tr>
      <w:tr>
        <w:tc>
          <w:tcPr>
            <w:tcW w:type="dxa" w:w="5040"/>
            <w:vAlign w:val="center"/>
            <w:tcMar>
              <w:top w:w="80" w:type="dxa"/>
              <w:start w:w="80" w:type="dxa"/>
              <w:bottom w:w="80" w:type="dxa"/>
              <w:end w:w="80" w:type="dxa"/>
            </w:tcMar>
          </w:tcPr>
          <w:p>
            <w:pPr>
              <w:spacing w:after="0"/>
            </w:pPr>
            <w:r>
              <w:rPr>
                <w:rFonts w:ascii="Noto Sans" w:hAnsi="Noto Sans" w:eastAsia="Noto Sans"/>
                <w:sz w:val="16"/>
              </w:rPr>
              <w:t>Week 4 - Pilot concept</w:t>
            </w:r>
          </w:p>
        </w:tc>
        <w:tc>
          <w:tcPr>
            <w:tcW w:type="dxa" w:w="5040"/>
            <w:vAlign w:val="center"/>
            <w:tcMar>
              <w:top w:w="80" w:type="dxa"/>
              <w:start w:w="80" w:type="dxa"/>
              <w:bottom w:w="80" w:type="dxa"/>
              <w:end w:w="80" w:type="dxa"/>
            </w:tcMar>
          </w:tcPr>
          <w:p>
            <w:pPr>
              <w:spacing w:after="0"/>
            </w:pPr>
            <w:r>
              <w:rPr>
                <w:rFonts w:ascii="Noto Sans" w:hAnsi="Noto Sans" w:eastAsia="Noto Sans"/>
                <w:sz w:val="16"/>
              </w:rPr>
              <w:t>Define one bounded paid assessment or pilot that can be delivered with minimal integration, clear success measures, and reusable outputs.</w:t>
            </w:r>
          </w:p>
        </w:tc>
      </w:tr>
      <w:tr>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End of Week 4 - Reassessment</w:t>
            </w:r>
          </w:p>
        </w:tc>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Update evidence classes, criterion scores, risks, assumptions, and decision outcome under COF-101A.</w:t>
            </w:r>
          </w:p>
        </w:tc>
      </w:tr>
    </w:tbl>
    <w:p>
      <w:pPr>
        <w:pStyle w:val="Heading1"/>
        <w:spacing w:after="80"/>
      </w:pPr>
      <w:r>
        <w:t>10. Initial Customer Interview Guide</w:t>
      </w:r>
    </w:p>
    <w:p>
      <w:pPr>
        <w:pStyle w:val="ListBullet"/>
        <w:spacing w:after="80"/>
      </w:pPr>
      <w:r>
        <w:t>Which infrastructure information is hardest to trust or keep current?</w:t>
      </w:r>
    </w:p>
    <w:p>
      <w:pPr>
        <w:pStyle w:val="ListBullet"/>
        <w:spacing w:after="80"/>
      </w:pPr>
      <w:r>
        <w:t>Where do field records, GIS, work orders, photos, contractor packages, and final as-builts fail to agree?</w:t>
      </w:r>
    </w:p>
    <w:p>
      <w:pPr>
        <w:pStyle w:val="ListBullet"/>
        <w:spacing w:after="80"/>
      </w:pPr>
      <w:r>
        <w:t>Which documentation or inspection activities consume the most engineering or operations time?</w:t>
      </w:r>
    </w:p>
    <w:p>
      <w:pPr>
        <w:pStyle w:val="ListBullet"/>
        <w:spacing w:after="80"/>
      </w:pPr>
      <w:r>
        <w:t>What problem creates the most rework, delayed decisions, or avoidable truck rolls?</w:t>
      </w:r>
    </w:p>
    <w:p>
      <w:pPr>
        <w:pStyle w:val="ListBullet"/>
        <w:spacing w:after="80"/>
      </w:pPr>
      <w:r>
        <w:t>How are maintenance and capital priorities currently justified?</w:t>
      </w:r>
    </w:p>
    <w:p>
      <w:pPr>
        <w:pStyle w:val="ListBullet"/>
        <w:spacing w:after="80"/>
      </w:pPr>
      <w:r>
        <w:t>Which systems contain the authoritative record, and where are the seams between them?</w:t>
      </w:r>
    </w:p>
    <w:p>
      <w:pPr>
        <w:pStyle w:val="ListBullet"/>
        <w:spacing w:after="80"/>
      </w:pPr>
      <w:r>
        <w:t>What evidence is required before a project, repair, or investment is approved?</w:t>
      </w:r>
    </w:p>
    <w:p>
      <w:pPr>
        <w:pStyle w:val="ListBullet"/>
        <w:spacing w:after="80"/>
      </w:pPr>
      <w:r>
        <w:t>What would a useful small pilot need to prove?</w:t>
      </w:r>
    </w:p>
    <w:p>
      <w:pPr>
        <w:pStyle w:val="ListBullet"/>
        <w:spacing w:after="80"/>
      </w:pPr>
      <w:r>
        <w:t>Who would own the problem, budget, technical review, procurement, and final decision?</w:t>
      </w:r>
    </w:p>
    <w:p>
      <w:pPr>
        <w:pStyle w:val="ListBullet"/>
        <w:spacing w:after="80"/>
      </w:pPr>
      <w:r>
        <w:t>What would make a new vendor too risky to consider?</w:t>
      </w:r>
    </w:p>
    <w:tbl>
      <w:tblPr>
        <w:tblW w:type="auto" w:w="0"/>
        <w:jc w:val="center"/>
        <w:tblLayout w:type="autofit"/>
        <w:tblLook w:firstColumn="1" w:firstRow="1" w:lastColumn="0" w:lastRow="0" w:noHBand="0" w:noVBand="1" w:val="04A0"/>
      </w:tblPr>
      <w:tblGrid>
        <w:gridCol w:w="10080"/>
      </w:tblGrid>
      <w:tr>
        <w:tc>
          <w:tcPr>
            <w:tcW w:type="dxa" w:w="10080"/>
            <w:shd w:fill="EAF1F7"/>
            <w:tcMar>
              <w:top w:w="120" w:type="dxa"/>
              <w:start w:w="140" w:type="dxa"/>
              <w:bottom w:w="120" w:type="dxa"/>
              <w:end w:w="140" w:type="dxa"/>
            </w:tcMar>
          </w:tcPr>
          <w:p>
            <w:r>
              <w:rPr>
                <w:b/>
                <w:color w:val="18334F"/>
              </w:rPr>
              <w:t>Interview rule</w:t>
              <w:br/>
            </w:r>
            <w:r>
              <w:t>Ask for specific recent examples. Do not ask whether the interviewee “likes” AnchorFiber or AI. The goal is to verify costly operational conditions, current workarounds, decision authority, and measurable outcomes.</w:t>
            </w:r>
          </w:p>
        </w:tc>
      </w:tr>
    </w:tbl>
    <w:p>
      <w:pPr>
        <w:spacing w:after="80"/>
      </w:pPr>
    </w:p>
    <w:p>
      <w:pPr>
        <w:pStyle w:val="Heading1"/>
        <w:spacing w:after="80"/>
      </w:pPr>
      <w:r>
        <w:t>11. Candidate Pilot Hypotheses</w:t>
      </w:r>
    </w:p>
    <w:p>
      <w:pPr>
        <w:pStyle w:val="Heading2"/>
        <w:spacing w:after="80"/>
      </w:pPr>
      <w:r>
        <w:t>A. Infrastructure Documentation Assessment</w:t>
      </w:r>
    </w:p>
    <w:p>
      <w:pPr>
        <w:spacing w:after="80"/>
      </w:pPr>
      <w:r>
        <w:t>Evaluate a bounded sample of asset, GIS, work-order, contractor, and as-built records; identify inconsistencies, missing evidence, and process bottlenecks; deliver a prioritized improvement report.</w:t>
      </w:r>
    </w:p>
    <w:p>
      <w:pPr>
        <w:pStyle w:val="Heading2"/>
        <w:spacing w:after="80"/>
      </w:pPr>
      <w:r>
        <w:t>B. Fiber and Communications Asset Intelligence Pilot</w:t>
      </w:r>
    </w:p>
    <w:p>
      <w:pPr>
        <w:spacing w:after="80"/>
      </w:pPr>
      <w:r>
        <w:t>Create a verified inventory and evidence package for a limited fiber route, facility group, or communications asset set; test documentation quality and decision usefulness.</w:t>
      </w:r>
    </w:p>
    <w:p>
      <w:pPr>
        <w:pStyle w:val="Heading2"/>
        <w:spacing w:after="80"/>
      </w:pPr>
      <w:r>
        <w:t>C. Field-to-Office Evidence Workflow Pilot</w:t>
      </w:r>
    </w:p>
    <w:p>
      <w:pPr>
        <w:spacing w:after="80"/>
      </w:pPr>
      <w:r>
        <w:t>Capture field observations, classify evidence, reconcile records, and generate a traceable decision-ready report for one inspection or maintenance workflow.</w:t>
      </w:r>
    </w:p>
    <w:p>
      <w:pPr>
        <w:pStyle w:val="Heading2"/>
        <w:spacing w:after="80"/>
      </w:pPr>
      <w:r>
        <w:t>D. Capital Prioritization Evidence Pilot</w:t>
      </w:r>
    </w:p>
    <w:p>
      <w:pPr>
        <w:spacing w:after="80"/>
      </w:pPr>
      <w:r>
        <w:t>Combine selected asset condition, operational risk, dependency, and cost evidence to support one capital-planning decision.</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40" w:type="dxa"/>
              <w:bottom w:w="120" w:type="dxa"/>
              <w:end w:w="140" w:type="dxa"/>
            </w:tcMar>
          </w:tcPr>
          <w:p>
            <w:r>
              <w:rPr>
                <w:b/>
                <w:color w:val="18334F"/>
              </w:rPr>
              <w:t>Pilot selection rule</w:t>
              <w:br/>
            </w:r>
            <w:r>
              <w:t>No pilot should be selected until interviews show that the problem is recurring, expensive, owned by an identifiable buyer, and measurable within a short engagement.</w:t>
            </w:r>
          </w:p>
        </w:tc>
      </w:tr>
    </w:tbl>
    <w:p>
      <w:pPr>
        <w:spacing w:after="80"/>
      </w:pPr>
    </w:p>
    <w:p>
      <w:pPr>
        <w:pStyle w:val="Heading1"/>
        <w:spacing w:after="80"/>
      </w:pPr>
      <w:r>
        <w:t>12. Required Deliverables and Current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COF-101A deliverable</w:t>
            </w:r>
          </w:p>
        </w:tc>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Status</w:t>
            </w:r>
          </w:p>
        </w:tc>
        <w:tc>
          <w:tcPr>
            <w:tcW w:type="dxa" w:w="3360"/>
            <w:vAlign w:val="center"/>
            <w:tcMar>
              <w:top w:w="80" w:type="dxa"/>
              <w:start w:w="80" w:type="dxa"/>
              <w:bottom w:w="80" w:type="dxa"/>
              <w:end w:w="80" w:type="dxa"/>
            </w:tcMar>
            <w:shd w:fill="1F4E78"/>
          </w:tcPr>
          <w:p>
            <w:pPr>
              <w:spacing w:after="0"/>
            </w:pPr>
            <w:r>
              <w:rPr>
                <w:rFonts w:ascii="Noto Sans" w:hAnsi="Noto Sans" w:eastAsia="Noto Sans"/>
                <w:b/>
                <w:color w:val="FFFFFF"/>
                <w:sz w:val="16"/>
              </w:rPr>
              <w:t>Location / note</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Market Assessment Report</w:t>
            </w:r>
          </w:p>
        </w:tc>
        <w:tc>
          <w:tcPr>
            <w:tcW w:type="dxa" w:w="3360"/>
            <w:vAlign w:val="center"/>
            <w:tcMar>
              <w:top w:w="80" w:type="dxa"/>
              <w:start w:w="80" w:type="dxa"/>
              <w:bottom w:w="80" w:type="dxa"/>
              <w:end w:w="80" w:type="dxa"/>
            </w:tcMar>
          </w:tcPr>
          <w:p>
            <w:pPr>
              <w:spacing w:after="0"/>
            </w:pPr>
            <w:r>
              <w:rPr>
                <w:rFonts w:ascii="Noto Sans" w:hAnsi="Noto Sans" w:eastAsia="Noto Sans"/>
                <w:sz w:val="16"/>
              </w:rPr>
              <w:t>Complete - Draft</w:t>
            </w:r>
          </w:p>
        </w:tc>
        <w:tc>
          <w:tcPr>
            <w:tcW w:type="dxa" w:w="3360"/>
            <w:vAlign w:val="center"/>
            <w:tcMar>
              <w:top w:w="80" w:type="dxa"/>
              <w:start w:w="80" w:type="dxa"/>
              <w:bottom w:w="80" w:type="dxa"/>
              <w:end w:w="80" w:type="dxa"/>
            </w:tcMar>
          </w:tcPr>
          <w:p>
            <w:pPr>
              <w:spacing w:after="0"/>
            </w:pPr>
            <w:r>
              <w:rPr>
                <w:rFonts w:ascii="Noto Sans" w:hAnsi="Noto Sans" w:eastAsia="Noto Sans"/>
                <w:sz w:val="16"/>
              </w:rPr>
              <w:t>This document</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Market Definition</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Complete</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Section 1</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Evidence Register</w:t>
            </w:r>
          </w:p>
        </w:tc>
        <w:tc>
          <w:tcPr>
            <w:tcW w:type="dxa" w:w="3360"/>
            <w:vAlign w:val="center"/>
            <w:tcMar>
              <w:top w:w="80" w:type="dxa"/>
              <w:start w:w="80" w:type="dxa"/>
              <w:bottom w:w="80" w:type="dxa"/>
              <w:end w:w="80" w:type="dxa"/>
            </w:tcMar>
          </w:tcPr>
          <w:p>
            <w:pPr>
              <w:spacing w:after="0"/>
            </w:pPr>
            <w:r>
              <w:rPr>
                <w:rFonts w:ascii="Noto Sans" w:hAnsi="Noto Sans" w:eastAsia="Noto Sans"/>
                <w:sz w:val="16"/>
              </w:rPr>
              <w:t>Complete - Initial</w:t>
            </w:r>
          </w:p>
        </w:tc>
        <w:tc>
          <w:tcPr>
            <w:tcW w:type="dxa" w:w="3360"/>
            <w:vAlign w:val="center"/>
            <w:tcMar>
              <w:top w:w="80" w:type="dxa"/>
              <w:start w:w="80" w:type="dxa"/>
              <w:bottom w:w="80" w:type="dxa"/>
              <w:end w:w="80" w:type="dxa"/>
            </w:tcMar>
          </w:tcPr>
          <w:p>
            <w:pPr>
              <w:spacing w:after="0"/>
            </w:pPr>
            <w:r>
              <w:rPr>
                <w:rFonts w:ascii="Noto Sans" w:hAnsi="Noto Sans" w:eastAsia="Noto Sans"/>
                <w:sz w:val="16"/>
              </w:rPr>
              <w:t>Section 4</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Criterion Scorecard</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Complete - Preliminary</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Executive Summary / Section 5</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Risk Assessment</w:t>
            </w:r>
          </w:p>
        </w:tc>
        <w:tc>
          <w:tcPr>
            <w:tcW w:type="dxa" w:w="3360"/>
            <w:vAlign w:val="center"/>
            <w:tcMar>
              <w:top w:w="80" w:type="dxa"/>
              <w:start w:w="80" w:type="dxa"/>
              <w:bottom w:w="80" w:type="dxa"/>
              <w:end w:w="80" w:type="dxa"/>
            </w:tcMar>
          </w:tcPr>
          <w:p>
            <w:pPr>
              <w:spacing w:after="0"/>
            </w:pPr>
            <w:r>
              <w:rPr>
                <w:rFonts w:ascii="Noto Sans" w:hAnsi="Noto Sans" w:eastAsia="Noto Sans"/>
                <w:sz w:val="16"/>
              </w:rPr>
              <w:t>Complete - Initial</w:t>
            </w:r>
          </w:p>
        </w:tc>
        <w:tc>
          <w:tcPr>
            <w:tcW w:type="dxa" w:w="3360"/>
            <w:vAlign w:val="center"/>
            <w:tcMar>
              <w:top w:w="80" w:type="dxa"/>
              <w:start w:w="80" w:type="dxa"/>
              <w:bottom w:w="80" w:type="dxa"/>
              <w:end w:w="80" w:type="dxa"/>
            </w:tcMar>
          </w:tcPr>
          <w:p>
            <w:pPr>
              <w:spacing w:after="0"/>
            </w:pPr>
            <w:r>
              <w:rPr>
                <w:rFonts w:ascii="Noto Sans" w:hAnsi="Noto Sans" w:eastAsia="Noto Sans"/>
                <w:sz w:val="16"/>
              </w:rPr>
              <w:t>Section 7</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Assumption Register</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Complete - Initial</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Section 6</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Market Score</w:t>
            </w:r>
          </w:p>
        </w:tc>
        <w:tc>
          <w:tcPr>
            <w:tcW w:type="dxa" w:w="3360"/>
            <w:vAlign w:val="center"/>
            <w:tcMar>
              <w:top w:w="80" w:type="dxa"/>
              <w:start w:w="80" w:type="dxa"/>
              <w:bottom w:w="80" w:type="dxa"/>
              <w:end w:w="80" w:type="dxa"/>
            </w:tcMar>
          </w:tcPr>
          <w:p>
            <w:pPr>
              <w:spacing w:after="0"/>
            </w:pPr>
            <w:r>
              <w:rPr>
                <w:rFonts w:ascii="Noto Sans" w:hAnsi="Noto Sans" w:eastAsia="Noto Sans"/>
                <w:sz w:val="16"/>
              </w:rPr>
              <w:t>Complete - Preliminary</w:t>
            </w:r>
          </w:p>
        </w:tc>
        <w:tc>
          <w:tcPr>
            <w:tcW w:type="dxa" w:w="3360"/>
            <w:vAlign w:val="center"/>
            <w:tcMar>
              <w:top w:w="80" w:type="dxa"/>
              <w:start w:w="80" w:type="dxa"/>
              <w:bottom w:w="80" w:type="dxa"/>
              <w:end w:w="80" w:type="dxa"/>
            </w:tcMar>
          </w:tcPr>
          <w:p>
            <w:pPr>
              <w:spacing w:after="0"/>
            </w:pPr>
            <w:r>
              <w:rPr>
                <w:rFonts w:ascii="Noto Sans" w:hAnsi="Noto Sans" w:eastAsia="Noto Sans"/>
                <w:sz w:val="16"/>
              </w:rPr>
              <w:t>29/40</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Decision Outcome</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Complete</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VALIDATE</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Decision Rationale</w:t>
            </w:r>
          </w:p>
        </w:tc>
        <w:tc>
          <w:tcPr>
            <w:tcW w:type="dxa" w:w="3360"/>
            <w:vAlign w:val="center"/>
            <w:tcMar>
              <w:top w:w="80" w:type="dxa"/>
              <w:start w:w="80" w:type="dxa"/>
              <w:bottom w:w="80" w:type="dxa"/>
              <w:end w:w="80" w:type="dxa"/>
            </w:tcMar>
          </w:tcPr>
          <w:p>
            <w:pPr>
              <w:spacing w:after="0"/>
            </w:pPr>
            <w:r>
              <w:rPr>
                <w:rFonts w:ascii="Noto Sans" w:hAnsi="Noto Sans" w:eastAsia="Noto Sans"/>
                <w:sz w:val="16"/>
              </w:rPr>
              <w:t>Complete</w:t>
            </w:r>
          </w:p>
        </w:tc>
        <w:tc>
          <w:tcPr>
            <w:tcW w:type="dxa" w:w="3360"/>
            <w:vAlign w:val="center"/>
            <w:tcMar>
              <w:top w:w="80" w:type="dxa"/>
              <w:start w:w="80" w:type="dxa"/>
              <w:bottom w:w="80" w:type="dxa"/>
              <w:end w:w="80" w:type="dxa"/>
            </w:tcMar>
          </w:tcPr>
          <w:p>
            <w:pPr>
              <w:spacing w:after="0"/>
            </w:pPr>
            <w:r>
              <w:rPr>
                <w:rFonts w:ascii="Noto Sans" w:hAnsi="Noto Sans" w:eastAsia="Noto Sans"/>
                <w:sz w:val="16"/>
              </w:rPr>
              <w:t>Sections 5 and 8</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Strategic Recommendation</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Complete</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Section 13</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Required Next Actions</w:t>
            </w:r>
          </w:p>
        </w:tc>
        <w:tc>
          <w:tcPr>
            <w:tcW w:type="dxa" w:w="3360"/>
            <w:vAlign w:val="center"/>
            <w:tcMar>
              <w:top w:w="80" w:type="dxa"/>
              <w:start w:w="80" w:type="dxa"/>
              <w:bottom w:w="80" w:type="dxa"/>
              <w:end w:w="80" w:type="dxa"/>
            </w:tcMar>
          </w:tcPr>
          <w:p>
            <w:pPr>
              <w:spacing w:after="0"/>
            </w:pPr>
            <w:r>
              <w:rPr>
                <w:rFonts w:ascii="Noto Sans" w:hAnsi="Noto Sans" w:eastAsia="Noto Sans"/>
                <w:sz w:val="16"/>
              </w:rPr>
              <w:t>Complete</w:t>
            </w:r>
          </w:p>
        </w:tc>
        <w:tc>
          <w:tcPr>
            <w:tcW w:type="dxa" w:w="3360"/>
            <w:vAlign w:val="center"/>
            <w:tcMar>
              <w:top w:w="80" w:type="dxa"/>
              <w:start w:w="80" w:type="dxa"/>
              <w:bottom w:w="80" w:type="dxa"/>
              <w:end w:w="80" w:type="dxa"/>
            </w:tcMar>
          </w:tcPr>
          <w:p>
            <w:pPr>
              <w:spacing w:after="0"/>
            </w:pPr>
            <w:r>
              <w:rPr>
                <w:rFonts w:ascii="Noto Sans" w:hAnsi="Noto Sans" w:eastAsia="Noto Sans"/>
                <w:sz w:val="16"/>
              </w:rPr>
              <w:t>Section 9</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Reassessment Triggers</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Complete</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Section 14</w:t>
            </w:r>
          </w:p>
        </w:tc>
      </w:tr>
      <w:tr>
        <w:tc>
          <w:tcPr>
            <w:tcW w:type="dxa" w:w="3360"/>
            <w:vAlign w:val="center"/>
            <w:tcMar>
              <w:top w:w="80" w:type="dxa"/>
              <w:start w:w="80" w:type="dxa"/>
              <w:bottom w:w="80" w:type="dxa"/>
              <w:end w:w="80" w:type="dxa"/>
            </w:tcMar>
          </w:tcPr>
          <w:p>
            <w:pPr>
              <w:spacing w:after="0"/>
            </w:pPr>
            <w:r>
              <w:rPr>
                <w:rFonts w:ascii="Noto Sans" w:hAnsi="Noto Sans" w:eastAsia="Noto Sans"/>
                <w:sz w:val="16"/>
              </w:rPr>
              <w:t>Scheduled Reassessment Date</w:t>
            </w:r>
          </w:p>
        </w:tc>
        <w:tc>
          <w:tcPr>
            <w:tcW w:type="dxa" w:w="3360"/>
            <w:vAlign w:val="center"/>
            <w:tcMar>
              <w:top w:w="80" w:type="dxa"/>
              <w:start w:w="80" w:type="dxa"/>
              <w:bottom w:w="80" w:type="dxa"/>
              <w:end w:w="80" w:type="dxa"/>
            </w:tcMar>
          </w:tcPr>
          <w:p>
            <w:pPr>
              <w:spacing w:after="0"/>
            </w:pPr>
            <w:r>
              <w:rPr>
                <w:rFonts w:ascii="Noto Sans" w:hAnsi="Noto Sans" w:eastAsia="Noto Sans"/>
                <w:sz w:val="16"/>
              </w:rPr>
              <w:t>Proposed</w:t>
            </w:r>
          </w:p>
        </w:tc>
        <w:tc>
          <w:tcPr>
            <w:tcW w:type="dxa" w:w="3360"/>
            <w:vAlign w:val="center"/>
            <w:tcMar>
              <w:top w:w="80" w:type="dxa"/>
              <w:start w:w="80" w:type="dxa"/>
              <w:bottom w:w="80" w:type="dxa"/>
              <w:end w:w="80" w:type="dxa"/>
            </w:tcMar>
          </w:tcPr>
          <w:p>
            <w:pPr>
              <w:spacing w:after="0"/>
            </w:pPr>
            <w:r>
              <w:rPr>
                <w:rFonts w:ascii="Noto Sans" w:hAnsi="Noto Sans" w:eastAsia="Noto Sans"/>
                <w:sz w:val="16"/>
              </w:rPr>
              <w:t>September 2, 2026</w:t>
            </w:r>
          </w:p>
        </w:tc>
      </w:tr>
      <w:tr>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Approval Record</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Pending</w:t>
            </w:r>
          </w:p>
        </w:tc>
        <w:tc>
          <w:tcPr>
            <w:tcW w:type="dxa" w:w="3360"/>
            <w:vAlign w:val="center"/>
            <w:tcMar>
              <w:top w:w="80" w:type="dxa"/>
              <w:start w:w="80" w:type="dxa"/>
              <w:bottom w:w="80" w:type="dxa"/>
              <w:end w:w="80" w:type="dxa"/>
            </w:tcMar>
            <w:shd w:fill="EAF1F7"/>
          </w:tcPr>
          <w:p>
            <w:pPr>
              <w:spacing w:after="0"/>
            </w:pPr>
            <w:r>
              <w:rPr>
                <w:rFonts w:ascii="Noto Sans" w:hAnsi="Noto Sans" w:eastAsia="Noto Sans"/>
                <w:sz w:val="16"/>
              </w:rPr>
              <w:t>Executive Sponsor review required</w:t>
            </w:r>
          </w:p>
        </w:tc>
      </w:tr>
    </w:tbl>
    <w:p>
      <w:pPr>
        <w:pStyle w:val="Heading1"/>
        <w:spacing w:after="80"/>
      </w:pPr>
      <w:r>
        <w:t>13. Strategic Recommendation</w:t>
      </w:r>
    </w:p>
    <w:p>
      <w:pPr>
        <w:spacing w:after="80"/>
      </w:pPr>
      <w:r>
        <w:rPr>
          <w:b/>
        </w:rPr>
        <w:t xml:space="preserve">Recommendation: </w:t>
      </w:r>
      <w:r>
        <w:t>Authorize a 30-day market-validation sprint. Do not authorize a broad AnchorFiber build, enterprise integration program, or mass outbound campaign at this stage.</w:t>
      </w:r>
    </w:p>
    <w:p>
      <w:pPr>
        <w:pStyle w:val="ListBullet"/>
        <w:spacing w:after="80"/>
      </w:pPr>
      <w:r>
        <w:t>Concentrate on Texas and CFC District 10 before expanding nationally.</w:t>
      </w:r>
    </w:p>
    <w:p>
      <w:pPr>
        <w:pStyle w:val="ListBullet"/>
        <w:spacing w:after="80"/>
      </w:pPr>
      <w:r>
        <w:t>Use five practitioner interviews as the minimum direct-evidence threshold.</w:t>
      </w:r>
    </w:p>
    <w:p>
      <w:pPr>
        <w:pStyle w:val="ListBullet"/>
        <w:spacing w:after="80"/>
      </w:pPr>
      <w:r>
        <w:t>Identify one repeated, costly problem rather than promoting a general platform.</w:t>
      </w:r>
    </w:p>
    <w:p>
      <w:pPr>
        <w:pStyle w:val="ListBullet"/>
        <w:spacing w:after="80"/>
      </w:pPr>
      <w:r>
        <w:t>Design one bounded paid assessment or pilot with measurable outcomes and minimal integration.</w:t>
      </w:r>
    </w:p>
    <w:p>
      <w:pPr>
        <w:pStyle w:val="ListBullet"/>
        <w:spacing w:after="80"/>
      </w:pPr>
      <w:r>
        <w:t>Reassess the market under COF-101A after direct evidence is collected.</w:t>
      </w:r>
    </w:p>
    <w:p>
      <w:pPr>
        <w:pStyle w:val="ListBullet"/>
        <w:spacing w:after="80"/>
      </w:pPr>
      <w:r>
        <w:t>Advance to Pursue only if mandatory gates are satisfied.</w:t>
      </w:r>
    </w:p>
    <w:p>
      <w:pPr>
        <w:pStyle w:val="Heading1"/>
        <w:spacing w:after="80"/>
      </w:pPr>
      <w:r>
        <w:t>14. Reassessment and Exit Triggers</w:t>
      </w:r>
    </w:p>
    <w:p>
      <w:pPr>
        <w:pStyle w:val="Heading2"/>
        <w:spacing w:after="80"/>
      </w:pPr>
      <w:r>
        <w:t>Reassessment triggers</w:t>
      </w:r>
    </w:p>
    <w:p>
      <w:pPr>
        <w:pStyle w:val="ListBullet"/>
        <w:spacing w:after="80"/>
      </w:pPr>
      <w:r>
        <w:t>Five qualified interviews completed</w:t>
      </w:r>
    </w:p>
    <w:p>
      <w:pPr>
        <w:pStyle w:val="ListBullet"/>
        <w:spacing w:after="80"/>
      </w:pPr>
      <w:r>
        <w:t>A cooperative agrees to evaluate a pilot concept</w:t>
      </w:r>
    </w:p>
    <w:p>
      <w:pPr>
        <w:pStyle w:val="ListBullet"/>
        <w:spacing w:after="80"/>
      </w:pPr>
      <w:r>
        <w:t>A direct buyer validates willingness to pay</w:t>
      </w:r>
    </w:p>
    <w:p>
      <w:pPr>
        <w:pStyle w:val="ListBullet"/>
        <w:spacing w:after="80"/>
      </w:pPr>
      <w:r>
        <w:t>A material competitor or integration barrier is identified</w:t>
      </w:r>
    </w:p>
    <w:p>
      <w:pPr>
        <w:pStyle w:val="ListBullet"/>
        <w:spacing w:after="80"/>
      </w:pPr>
      <w:r>
        <w:t>NRECA or cooperative-channel access is confirmed or denied</w:t>
      </w:r>
    </w:p>
    <w:p>
      <w:pPr>
        <w:pStyle w:val="ListBullet"/>
        <w:spacing w:after="80"/>
      </w:pPr>
      <w:r>
        <w:t>The scheduled reassessment date occurs</w:t>
      </w:r>
    </w:p>
    <w:p>
      <w:pPr>
        <w:pStyle w:val="Heading2"/>
        <w:spacing w:after="80"/>
      </w:pPr>
      <w:r>
        <w:t>Hold or exit triggers</w:t>
      </w:r>
    </w:p>
    <w:p>
      <w:pPr>
        <w:pStyle w:val="ListBullet"/>
        <w:spacing w:after="80"/>
      </w:pPr>
      <w:r>
        <w:t>No repeated expensive problem emerges across interviews</w:t>
      </w:r>
    </w:p>
    <w:p>
      <w:pPr>
        <w:pStyle w:val="ListBullet"/>
        <w:spacing w:after="80"/>
      </w:pPr>
      <w:r>
        <w:t>Problems require extensive custom integration before value can be demonstrated</w:t>
      </w:r>
    </w:p>
    <w:p>
      <w:pPr>
        <w:pStyle w:val="ListBullet"/>
        <w:spacing w:after="80"/>
      </w:pPr>
      <w:r>
        <w:t>Buyers will not fund a paid assessment or pilot</w:t>
      </w:r>
    </w:p>
    <w:p>
      <w:pPr>
        <w:pStyle w:val="ListBullet"/>
        <w:spacing w:after="80"/>
      </w:pPr>
      <w:r>
        <w:t>Procurement and security barriers exceed SLS capacity</w:t>
      </w:r>
    </w:p>
    <w:p>
      <w:pPr>
        <w:pStyle w:val="ListBullet"/>
        <w:spacing w:after="80"/>
      </w:pPr>
      <w:r>
        <w:t>Existing vendors already solve the target problem sufficiently</w:t>
      </w:r>
    </w:p>
    <w:p>
      <w:pPr>
        <w:pStyle w:val="ListBullet"/>
        <w:spacing w:after="80"/>
      </w:pPr>
      <w:r>
        <w:t>The market no longer fits SLS capacity or strategic direction</w:t>
      </w:r>
    </w:p>
    <w:p>
      <w:pPr>
        <w:pStyle w:val="Heading1"/>
        <w:spacing w:after="80"/>
      </w:pPr>
      <w:r>
        <w:t>15. Sources and Citation Key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80" w:type="dxa"/>
              <w:bottom w:w="80" w:type="dxa"/>
              <w:end w:w="80" w:type="dxa"/>
            </w:tcMar>
            <w:shd w:fill="1F4E78"/>
          </w:tcPr>
          <w:p>
            <w:pPr>
              <w:spacing w:after="0"/>
            </w:pPr>
            <w:r>
              <w:rPr>
                <w:rFonts w:ascii="Noto Sans" w:hAnsi="Noto Sans" w:eastAsia="Noto Sans"/>
                <w:b/>
                <w:color w:val="FFFFFF"/>
                <w:sz w:val="16"/>
              </w:rPr>
              <w:t>Key</w:t>
            </w:r>
          </w:p>
        </w:tc>
        <w:tc>
          <w:tcPr>
            <w:tcW w:type="dxa" w:w="5040"/>
            <w:vAlign w:val="center"/>
            <w:tcMar>
              <w:top w:w="80" w:type="dxa"/>
              <w:start w:w="80" w:type="dxa"/>
              <w:bottom w:w="80" w:type="dxa"/>
              <w:end w:w="80" w:type="dxa"/>
            </w:tcMar>
            <w:shd w:fill="1F4E78"/>
          </w:tcPr>
          <w:p>
            <w:pPr>
              <w:spacing w:after="0"/>
            </w:pPr>
            <w:r>
              <w:rPr>
                <w:rFonts w:ascii="Noto Sans" w:hAnsi="Noto Sans" w:eastAsia="Noto Sans"/>
                <w:b/>
                <w:color w:val="FFFFFF"/>
                <w:sz w:val="16"/>
              </w:rPr>
              <w:t>Source</w:t>
            </w:r>
          </w:p>
        </w:tc>
      </w:tr>
      <w:tr>
        <w:tc>
          <w:tcPr>
            <w:tcW w:type="dxa" w:w="5040"/>
            <w:vAlign w:val="center"/>
            <w:tcMar>
              <w:top w:w="80" w:type="dxa"/>
              <w:start w:w="80" w:type="dxa"/>
              <w:bottom w:w="80" w:type="dxa"/>
              <w:end w:w="80" w:type="dxa"/>
            </w:tcMar>
          </w:tcPr>
          <w:p>
            <w:pPr>
              <w:spacing w:after="0"/>
            </w:pPr>
            <w:r>
              <w:rPr>
                <w:rFonts w:ascii="Noto Sans" w:hAnsi="Noto Sans" w:eastAsia="Noto Sans"/>
                <w:sz w:val="16"/>
              </w:rPr>
              <w:t>[S1]</w:t>
            </w:r>
          </w:p>
        </w:tc>
        <w:tc>
          <w:tcPr>
            <w:tcW w:type="dxa" w:w="5040"/>
            <w:vAlign w:val="center"/>
            <w:tcMar>
              <w:top w:w="80" w:type="dxa"/>
              <w:start w:w="80" w:type="dxa"/>
              <w:bottom w:w="80" w:type="dxa"/>
              <w:end w:w="80" w:type="dxa"/>
            </w:tcMar>
          </w:tcPr>
          <w:p>
            <w:pPr>
              <w:spacing w:after="0"/>
            </w:pPr>
            <w:r>
              <w:rPr>
                <w:rFonts w:ascii="Noto Sans" w:hAnsi="Noto Sans" w:eastAsia="Noto Sans"/>
                <w:sz w:val="16"/>
              </w:rPr>
              <w:t>NRECA, “America’s Cooperative Electric Utilities,” Fact Sheet, April 2026. https://www.cooperative.com/programs-services/bts/Documents/Data/Electric-Co-op-Fact-Sheet.pdf</w:t>
            </w:r>
          </w:p>
        </w:tc>
      </w:tr>
      <w:tr>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[S2]</w:t>
            </w:r>
          </w:p>
        </w:tc>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America’s Electric Cooperatives, NRECA Member Directory. https://www.electric.coop/our-organization/nreca-member-directory</w:t>
            </w:r>
          </w:p>
        </w:tc>
      </w:tr>
      <w:tr>
        <w:tc>
          <w:tcPr>
            <w:tcW w:type="dxa" w:w="5040"/>
            <w:vAlign w:val="center"/>
            <w:tcMar>
              <w:top w:w="80" w:type="dxa"/>
              <w:start w:w="80" w:type="dxa"/>
              <w:bottom w:w="80" w:type="dxa"/>
              <w:end w:w="80" w:type="dxa"/>
            </w:tcMar>
          </w:tcPr>
          <w:p>
            <w:pPr>
              <w:spacing w:after="0"/>
            </w:pPr>
            <w:r>
              <w:rPr>
                <w:rFonts w:ascii="Noto Sans" w:hAnsi="Noto Sans" w:eastAsia="Noto Sans"/>
                <w:sz w:val="16"/>
              </w:rPr>
              <w:t>[S3]</w:t>
            </w:r>
          </w:p>
        </w:tc>
        <w:tc>
          <w:tcPr>
            <w:tcW w:type="dxa" w:w="5040"/>
            <w:vAlign w:val="center"/>
            <w:tcMar>
              <w:top w:w="80" w:type="dxa"/>
              <w:start w:w="80" w:type="dxa"/>
              <w:bottom w:w="80" w:type="dxa"/>
              <w:end w:w="80" w:type="dxa"/>
            </w:tcMar>
          </w:tcPr>
          <w:p>
            <w:pPr>
              <w:spacing w:after="0"/>
            </w:pPr>
            <w:r>
              <w:rPr>
                <w:rFonts w:ascii="Noto Sans" w:hAnsi="Noto Sans" w:eastAsia="Noto Sans"/>
                <w:sz w:val="16"/>
              </w:rPr>
              <w:t>NRECA programs and services portal. https://www.cooperative.com/nreca/Pages/default.aspx</w:t>
            </w:r>
          </w:p>
        </w:tc>
      </w:tr>
      <w:tr>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[S4]</w:t>
            </w:r>
          </w:p>
        </w:tc>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U.S. Energy Information Administration, definition of Cooperative Electric Utility. https://www.eia.gov/tools/glossary/index.php?id=coop</w:t>
            </w:r>
          </w:p>
        </w:tc>
      </w:tr>
      <w:tr>
        <w:tc>
          <w:tcPr>
            <w:tcW w:type="dxa" w:w="5040"/>
            <w:vAlign w:val="center"/>
            <w:tcMar>
              <w:top w:w="80" w:type="dxa"/>
              <w:start w:w="80" w:type="dxa"/>
              <w:bottom w:w="80" w:type="dxa"/>
              <w:end w:w="80" w:type="dxa"/>
            </w:tcMar>
          </w:tcPr>
          <w:p>
            <w:pPr>
              <w:spacing w:after="0"/>
            </w:pPr>
            <w:r>
              <w:rPr>
                <w:rFonts w:ascii="Noto Sans" w:hAnsi="Noto Sans" w:eastAsia="Noto Sans"/>
                <w:sz w:val="16"/>
              </w:rPr>
              <w:t>[S5]</w:t>
            </w:r>
          </w:p>
        </w:tc>
        <w:tc>
          <w:tcPr>
            <w:tcW w:type="dxa" w:w="5040"/>
            <w:vAlign w:val="center"/>
            <w:tcMar>
              <w:top w:w="80" w:type="dxa"/>
              <w:start w:w="80" w:type="dxa"/>
              <w:bottom w:w="80" w:type="dxa"/>
              <w:end w:w="80" w:type="dxa"/>
            </w:tcMar>
          </w:tcPr>
          <w:p>
            <w:pPr>
              <w:spacing w:after="0"/>
            </w:pPr>
            <w:r>
              <w:rPr>
                <w:rFonts w:ascii="Noto Sans" w:hAnsi="Noto Sans" w:eastAsia="Noto Sans"/>
                <w:sz w:val="16"/>
              </w:rPr>
              <w:t>United Cooperative Services website. https://ucs.net</w:t>
            </w:r>
          </w:p>
        </w:tc>
      </w:tr>
      <w:tr>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[S6]</w:t>
            </w:r>
          </w:p>
        </w:tc>
        <w:tc>
          <w:tcPr>
            <w:tcW w:type="dxa" w:w="5040"/>
            <w:vAlign w:val="center"/>
            <w:tcMar>
              <w:top w:w="80" w:type="dxa"/>
              <w:start w:w="80" w:type="dxa"/>
              <w:bottom w:w="80" w:type="dxa"/>
              <w:end w:w="80" w:type="dxa"/>
            </w:tcMar>
            <w:shd w:fill="EAF1F7"/>
          </w:tcPr>
          <w:p>
            <w:pPr>
              <w:spacing w:after="0"/>
            </w:pPr>
            <w:r>
              <w:rPr>
                <w:rFonts w:ascii="Noto Sans" w:hAnsi="Noto Sans" w:eastAsia="Noto Sans"/>
                <w:sz w:val="16"/>
              </w:rPr>
              <w:t>National Rural Utilities Cooperative Finance Corporation, District Map. https://www.nrucfc.coop/content/nrucfc/en/our-members/district-map.html</w:t>
            </w:r>
          </w:p>
        </w:tc>
      </w:tr>
    </w:tbl>
    <w:tbl>
      <w:tblPr>
        <w:tblW w:type="auto" w:w="0"/>
        <w:jc w:val="center"/>
        <w:tblLayout w:type="autofit"/>
        <w:tblLook w:firstColumn="1" w:firstRow="1" w:lastColumn="0" w:lastRow="0" w:noHBand="0" w:noVBand="1" w:val="04A0"/>
      </w:tblPr>
      <w:tblGrid>
        <w:gridCol w:w="10080"/>
      </w:tblGrid>
      <w:tr>
        <w:tc>
          <w:tcPr>
            <w:tcW w:type="dxa" w:w="10080"/>
            <w:shd w:fill="EAF1F7"/>
            <w:tcMar>
              <w:top w:w="120" w:type="dxa"/>
              <w:start w:w="140" w:type="dxa"/>
              <w:bottom w:w="120" w:type="dxa"/>
              <w:end w:w="140" w:type="dxa"/>
            </w:tcMar>
          </w:tcPr>
          <w:p>
            <w:r>
              <w:rPr>
                <w:b/>
                <w:color w:val="18334F"/>
              </w:rPr>
              <w:t>Evidence integrity statement</w:t>
              <w:br/>
            </w:r>
            <w:r>
              <w:t>Facts attributed to the listed sources are treated as source-derived. Claims about likely operational pain, product fit, buyer behavior, willingness to pay, and delivery feasibility are explicitly classified as Supported, Assumption, or Unknown until direct market evidence is collected.</w:t>
            </w:r>
          </w:p>
        </w:tc>
      </w:tr>
    </w:tbl>
    <w:p>
      <w:pPr>
        <w:spacing w:after="80"/>
      </w:pPr>
    </w:p>
    <w:p>
      <w:pPr>
        <w:pStyle w:val="Heading1"/>
        <w:spacing w:after="80"/>
      </w:pPr>
      <w:r>
        <w:t>16. Approval Record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80" w:type="dxa"/>
              <w:bottom w:w="80" w:type="dxa"/>
              <w:end w:w="80" w:type="dxa"/>
            </w:tcMar>
            <w:shd w:fill="1F4E78"/>
            <w:shd w:fill="D9E7F2"/>
          </w:tcPr>
          <w:p>
            <w:r>
              <w:t>Assessment Owner</w:t>
            </w:r>
          </w:p>
        </w:tc>
        <w:tc>
          <w:tcPr>
            <w:tcW w:type="dxa" w:w="5040"/>
            <w:vAlign w:val="center"/>
            <w:tcMar>
              <w:top w:w="80" w:type="dxa"/>
              <w:start w:w="80" w:type="dxa"/>
              <w:bottom w:w="80" w:type="dxa"/>
              <w:end w:w="80" w:type="dxa"/>
            </w:tcMar>
            <w:shd w:fill="1F4E78"/>
          </w:tcPr>
          <w:p>
            <w:r>
              <w:t>Ricky Jarnagin / Sirius Logic Systems</w:t>
            </w:r>
          </w:p>
        </w:tc>
      </w:tr>
      <w:tr>
        <w:tc>
          <w:tcPr>
            <w:tcW w:type="dxa" w:w="5040"/>
            <w:vAlign w:val="center"/>
            <w:tcMar>
              <w:top w:w="80" w:type="dxa"/>
              <w:start w:w="80" w:type="dxa"/>
              <w:bottom w:w="80" w:type="dxa"/>
              <w:end w:w="80" w:type="dxa"/>
            </w:tcMar>
            <w:shd w:fill="D9E7F2"/>
          </w:tcPr>
          <w:p>
            <w:r>
              <w:t>Executive Sponsor Decision</w:t>
            </w:r>
          </w:p>
        </w:tc>
        <w:tc>
          <w:tcPr>
            <w:tcW w:type="dxa" w:w="5040"/>
            <w:vAlign w:val="center"/>
            <w:tcMar>
              <w:top w:w="80" w:type="dxa"/>
              <w:start w:w="80" w:type="dxa"/>
              <w:bottom w:w="80" w:type="dxa"/>
              <w:end w:w="80" w:type="dxa"/>
            </w:tcMar>
          </w:tcPr>
          <w:p>
            <w:r>
              <w:t>Pending</w:t>
            </w:r>
          </w:p>
        </w:tc>
      </w:tr>
      <w:tr>
        <w:tc>
          <w:tcPr>
            <w:tcW w:type="dxa" w:w="5040"/>
            <w:vAlign w:val="center"/>
            <w:tcMar>
              <w:top w:w="80" w:type="dxa"/>
              <w:start w:w="80" w:type="dxa"/>
              <w:bottom w:w="80" w:type="dxa"/>
              <w:end w:w="80" w:type="dxa"/>
            </w:tcMar>
            <w:shd w:fill="EAF1F7"/>
            <w:shd w:fill="D9E7F2"/>
          </w:tcPr>
          <w:p>
            <w:r>
              <w:t>Approved Outcome</w:t>
            </w:r>
          </w:p>
        </w:tc>
        <w:tc>
          <w:tcPr>
            <w:tcW w:type="dxa" w:w="5040"/>
            <w:vAlign w:val="center"/>
            <w:tcMar>
              <w:top w:w="80" w:type="dxa"/>
              <w:start w:w="80" w:type="dxa"/>
              <w:bottom w:w="80" w:type="dxa"/>
              <w:end w:w="80" w:type="dxa"/>
            </w:tcMar>
            <w:shd w:fill="EAF1F7"/>
          </w:tcPr>
          <w:p>
            <w:r>
              <w:t>Pending</w:t>
            </w:r>
          </w:p>
        </w:tc>
      </w:tr>
      <w:tr>
        <w:tc>
          <w:tcPr>
            <w:tcW w:type="dxa" w:w="5040"/>
            <w:vAlign w:val="center"/>
            <w:tcMar>
              <w:top w:w="80" w:type="dxa"/>
              <w:start w:w="80" w:type="dxa"/>
              <w:bottom w:w="80" w:type="dxa"/>
              <w:end w:w="80" w:type="dxa"/>
            </w:tcMar>
            <w:shd w:fill="D9E7F2"/>
          </w:tcPr>
          <w:p>
            <w:r>
              <w:t>Conditions of Approval</w:t>
            </w:r>
          </w:p>
        </w:tc>
        <w:tc>
          <w:tcPr>
            <w:tcW w:type="dxa" w:w="5040"/>
            <w:vAlign w:val="center"/>
            <w:tcMar>
              <w:top w:w="80" w:type="dxa"/>
              <w:start w:w="80" w:type="dxa"/>
              <w:bottom w:w="80" w:type="dxa"/>
              <w:end w:w="80" w:type="dxa"/>
            </w:tcMar>
          </w:tcPr>
          <w:p>
            <w:r>
              <w:t>30-day validation sprint; no major build commitment</w:t>
            </w:r>
          </w:p>
        </w:tc>
      </w:tr>
      <w:tr>
        <w:tc>
          <w:tcPr>
            <w:tcW w:type="dxa" w:w="5040"/>
            <w:vAlign w:val="center"/>
            <w:tcMar>
              <w:top w:w="80" w:type="dxa"/>
              <w:start w:w="80" w:type="dxa"/>
              <w:bottom w:w="80" w:type="dxa"/>
              <w:end w:w="80" w:type="dxa"/>
            </w:tcMar>
            <w:shd w:fill="EAF1F7"/>
            <w:shd w:fill="D9E7F2"/>
          </w:tcPr>
          <w:p>
            <w:r>
              <w:t>Next Review Date</w:t>
            </w:r>
          </w:p>
        </w:tc>
        <w:tc>
          <w:tcPr>
            <w:tcW w:type="dxa" w:w="5040"/>
            <w:vAlign w:val="center"/>
            <w:tcMar>
              <w:top w:w="80" w:type="dxa"/>
              <w:start w:w="80" w:type="dxa"/>
              <w:bottom w:w="80" w:type="dxa"/>
              <w:end w:w="80" w:type="dxa"/>
            </w:tcMar>
            <w:shd w:fill="EAF1F7"/>
          </w:tcPr>
          <w:p>
            <w:r>
              <w:t>September 2, 2026</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Sirius Logic Systems | Commercial Operating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b/>
      <w:bCs/>
      <w:color w:val="1833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b/>
      <w:bCs/>
      <w:color w:val="2B4A6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465A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1833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465A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