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FE62A9">
      <w:pPr>
        <w:pBdr/>
        <w:spacing/>
        <w:ind/>
        <w:rPr>
          <w:rFonts w:ascii="Roboto" w:hAnsi="Roboto" w:eastAsia="Roboto" w:cs="Roboto"/>
          <w:sz w:val="24"/>
          <w:szCs w:val="24"/>
        </w:rPr>
      </w:pPr>
      <w:r>
        <w:rPr>
          <w:rFonts w:ascii="Roboto" w:hAnsi="Roboto" w:eastAsia="Roboto" w:cs="Roboto"/>
          <w:b/>
          <w:bCs/>
          <w:sz w:val="40"/>
          <w:szCs w:val="40"/>
        </w:rPr>
        <w:t xml:space="preserve">The Sirius Logic Systems Commercial Flywheel</w:t>
      </w:r>
      <w:r>
        <w:rPr>
          <w:rFonts w:ascii="Roboto" w:hAnsi="Roboto" w:eastAsia="Roboto" w:cs="Roboto"/>
          <w:b/>
          <w:bCs/>
          <w:sz w:val="44"/>
          <w:szCs w:val="44"/>
        </w:rPr>
      </w:r>
      <w:r>
        <w:rPr>
          <w:rFonts w:ascii="Roboto" w:hAnsi="Roboto" w:cs="Roboto"/>
          <w:sz w:val="24"/>
          <w:szCs w:val="24"/>
        </w:rPr>
      </w:r>
    </w:p>
    <w:p w14:paraId="36D8D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b/>
          <w:color w:val="000000"/>
          <w:sz w:val="28"/>
          <w:szCs w:val="24"/>
        </w:rPr>
        <w:t xml:space="preserve">Commercial Flywheel Principle</w:t>
      </w:r>
      <w:r>
        <w:rPr>
          <w:rFonts w:ascii="Roboto" w:hAnsi="Roboto" w:eastAsia="Roboto" w:cs="Roboto"/>
          <w:sz w:val="24"/>
          <w:szCs w:val="24"/>
        </w:rPr>
      </w:r>
    </w:p>
    <w:p w14:paraId="266E2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Cs/>
          <w:i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i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The Commercial Flywheel defines how Sirius Logic Systems converts every customer engagement into reusable organizational capability, creating a continuously improving commercial and technical ecosystem.</w:t>
      </w:r>
      <w:r>
        <w:rPr>
          <w:rFonts w:ascii="Roboto" w:hAnsi="Roboto" w:eastAsia="Roboto" w:cs="Roboto"/>
          <w:i/>
          <w:color w:val="000000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</w:rPr>
      </w:r>
    </w:p>
    <w:p w14:paraId="7E9D2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i w:val="0"/>
          <w:iCs w:val="0"/>
          <w:color w:val="000000"/>
          <w:sz w:val="24"/>
          <w:szCs w:val="24"/>
        </w:rPr>
        <w:t xml:space="preserve">Every commercial engagement SHALL produce reusable knowledge that strengthens the platform, improves future customer outcomes, and increases the organization's ability to create value.</w:t>
      </w:r>
      <w:r>
        <w:rPr>
          <w:rFonts w:ascii="Roboto" w:hAnsi="Roboto" w:cs="Roboto"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Roboto" w:hAnsi="Roboto" w:cs="Roboto"/>
          <w:bCs w:val="0"/>
          <w:i w:val="0"/>
          <w:color w:val="000000"/>
          <w:sz w:val="24"/>
          <w:szCs w:val="24"/>
          <w:highlight w:val="none"/>
        </w:rPr>
      </w:r>
    </w:p>
    <w:p w14:paraId="6D5C38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i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i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i/>
          <w:color w:val="000000"/>
          <w:sz w:val="24"/>
          <w:szCs w:val="24"/>
          <w:highlight w:val="none"/>
        </w:rPr>
      </w:r>
    </w:p>
    <w:p w14:paraId="0D6F20C0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</w:p>
    <w:p w14:paraId="7A72A932">
      <w:pPr>
        <w:pBdr/>
        <w:spacing/>
        <w:ind/>
        <w:rPr>
          <w:rFonts w:ascii="Roboto" w:hAnsi="Roboto" w:eastAsia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</w:rPr>
        <w:t xml:space="preserve">             MARKET INTELLIGENCE</w:t>
      </w:r>
      <w:r>
        <w:rPr>
          <w:rFonts w:ascii="Roboto" w:hAnsi="Roboto" w:eastAsia="Roboto" w:cs="Roboto"/>
          <w:sz w:val="24"/>
          <w:szCs w:val="24"/>
        </w:rPr>
      </w:r>
      <w:r/>
    </w:p>
    <w:p w14:paraId="580C1289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(COF-101 / COF-101A)</w:t>
      </w:r>
      <w:r>
        <w:rPr>
          <w:rFonts w:ascii="Roboto" w:hAnsi="Roboto" w:eastAsia="Roboto" w:cs="Roboto"/>
          <w:sz w:val="24"/>
          <w:szCs w:val="24"/>
        </w:rPr>
      </w:r>
    </w:p>
    <w:p w14:paraId="377AE32D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169A3EF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3FED7B3C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Identify High-Value Markets</w:t>
      </w:r>
      <w:r>
        <w:rPr>
          <w:rFonts w:ascii="Roboto" w:hAnsi="Roboto" w:eastAsia="Roboto" w:cs="Roboto"/>
          <w:sz w:val="24"/>
          <w:szCs w:val="24"/>
        </w:rPr>
      </w:r>
    </w:p>
    <w:p w14:paraId="3E77EE2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33FD9564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1F41582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Opportunity Intelligence</w:t>
      </w:r>
      <w:r>
        <w:rPr>
          <w:rFonts w:ascii="Roboto" w:hAnsi="Roboto" w:eastAsia="Roboto" w:cs="Roboto"/>
          <w:sz w:val="24"/>
          <w:szCs w:val="24"/>
        </w:rPr>
      </w:r>
    </w:p>
    <w:p w14:paraId="376ADB3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(COF-102)</w:t>
      </w:r>
      <w:r>
        <w:rPr>
          <w:rFonts w:ascii="Roboto" w:hAnsi="Roboto" w:eastAsia="Roboto" w:cs="Roboto"/>
          <w:sz w:val="24"/>
          <w:szCs w:val="24"/>
        </w:rPr>
      </w:r>
    </w:p>
    <w:p w14:paraId="0FC1234F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7154379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73A0201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Qualified Opportunities</w:t>
      </w:r>
      <w:r>
        <w:rPr>
          <w:rFonts w:ascii="Roboto" w:hAnsi="Roboto" w:eastAsia="Roboto" w:cs="Roboto"/>
          <w:sz w:val="24"/>
          <w:szCs w:val="24"/>
        </w:rPr>
      </w:r>
    </w:p>
    <w:p w14:paraId="08A23114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360BA59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11F5EC5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Discovery (COF-103)</w:t>
      </w:r>
      <w:r>
        <w:rPr>
          <w:rFonts w:ascii="Roboto" w:hAnsi="Roboto" w:eastAsia="Roboto" w:cs="Roboto"/>
          <w:sz w:val="24"/>
          <w:szCs w:val="24"/>
        </w:rPr>
      </w:r>
    </w:p>
    <w:p w14:paraId="4DC88ED4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27A0CFF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171DFDF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Solution Design (COF-104)</w:t>
      </w:r>
      <w:r>
        <w:rPr>
          <w:rFonts w:ascii="Roboto" w:hAnsi="Roboto" w:eastAsia="Roboto" w:cs="Roboto"/>
          <w:sz w:val="24"/>
          <w:szCs w:val="24"/>
        </w:rPr>
      </w:r>
    </w:p>
    <w:p w14:paraId="4A2202F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467D1836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4B6B618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Pilot &amp; Validation (COF-105)</w:t>
      </w:r>
      <w:r>
        <w:rPr>
          <w:rFonts w:ascii="Roboto" w:hAnsi="Roboto" w:eastAsia="Roboto" w:cs="Roboto"/>
          <w:sz w:val="24"/>
          <w:szCs w:val="24"/>
        </w:rPr>
      </w:r>
    </w:p>
    <w:p w14:paraId="5789AFB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5510C79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1945B937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Successful Customer Delivery</w:t>
      </w:r>
      <w:r>
        <w:rPr>
          <w:rFonts w:ascii="Roboto" w:hAnsi="Roboto" w:eastAsia="Roboto" w:cs="Roboto"/>
          <w:sz w:val="24"/>
          <w:szCs w:val="24"/>
        </w:rPr>
      </w:r>
    </w:p>
    <w:p w14:paraId="5D3FDA22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68DCA759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79F37B98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Customer Success &amp; Relationship Growth</w:t>
      </w:r>
      <w:r>
        <w:rPr>
          <w:rFonts w:ascii="Roboto" w:hAnsi="Roboto" w:eastAsia="Roboto" w:cs="Roboto"/>
          <w:sz w:val="24"/>
          <w:szCs w:val="24"/>
        </w:rPr>
      </w:r>
    </w:p>
    <w:p w14:paraId="3098934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(COF-106)</w:t>
      </w:r>
      <w:r>
        <w:rPr>
          <w:rFonts w:ascii="Roboto" w:hAnsi="Roboto" w:eastAsia="Roboto" w:cs="Roboto"/>
          <w:sz w:val="24"/>
          <w:szCs w:val="24"/>
        </w:rPr>
      </w:r>
    </w:p>
    <w:p w14:paraId="0C1A9D8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345A7F11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 w14:paraId="780E2280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</w:t>
      </w:r>
      <w:r>
        <w:rPr>
          <w:rFonts w:ascii="Roboto" w:hAnsi="Roboto" w:eastAsia="Roboto" w:cs="Roboto"/>
          <w:sz w:val="24"/>
          <w:szCs w:val="24"/>
        </w:rPr>
        <w:t xml:space="preserve">Organizational Learning</w:t>
      </w:r>
      <w:r>
        <w:rPr>
          <w:rFonts w:ascii="Roboto" w:hAnsi="Roboto" w:eastAsia="Roboto" w:cs="Roboto"/>
          <w:sz w:val="24"/>
          <w:szCs w:val="24"/>
        </w:rPr>
        <w:t xml:space="preserve"> (COF-107)</w:t>
      </w:r>
      <w:r>
        <w:rPr>
          <w:rFonts w:ascii="Roboto" w:hAnsi="Roboto" w:eastAsia="Roboto" w:cs="Roboto"/>
          <w:sz w:val="24"/>
          <w:szCs w:val="24"/>
        </w:rPr>
      </w:r>
    </w:p>
    <w:p w14:paraId="46EBED15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4EBD819C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Customer Success</w:t>
      </w:r>
      <w:r/>
    </w:p>
    <w:p w14:paraId="39D091E3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│</w:t>
      </w:r>
      <w:r/>
    </w:p>
    <w:p w14:paraId="2B84EEB9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▼</w:t>
      </w:r>
      <w:r/>
    </w:p>
    <w:p w14:paraId="710F09C6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Organizational Learning</w:t>
      </w:r>
      <w:r/>
    </w:p>
    <w:p w14:paraId="7CAED04C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│</w:t>
      </w:r>
      <w:r/>
    </w:p>
    <w:p w14:paraId="63ECB1DC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┌──────┼──────────┬──────────┐</w:t>
      </w:r>
      <w:r/>
    </w:p>
    <w:p w14:paraId="5C0A0686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▼                        ▼                   ▼               ▼</w:t>
      </w:r>
      <w:r/>
    </w:p>
    <w:p w14:paraId="582CC1CF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Technical Commercial Knowledge Evidence</w:t>
      </w:r>
      <w:r/>
    </w:p>
    <w:p w14:paraId="486B8798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                            │</w:t>
      </w:r>
      <w:r/>
    </w:p>
    <w:p w14:paraId="4A680CB4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└──────────────┬──────────────┘</w:t>
      </w:r>
      <w:r/>
    </w:p>
    <w:p w14:paraId="22F74C41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                             ▼</w:t>
      </w:r>
      <w:r/>
    </w:p>
    <w:p w14:paraId="75847D3A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     Stronger Sirius Logic Systems</w:t>
      </w:r>
      <w:r/>
    </w:p>
    <w:p w14:paraId="664C6562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               │</w:t>
      </w:r>
      <w:r/>
    </w:p>
    <w:p w14:paraId="27850A68">
      <w:pPr>
        <w:pBdr/>
        <w:spacing/>
        <w:ind/>
        <w:rPr/>
      </w:pPr>
      <w:r>
        <w:rPr>
          <w:rFonts w:ascii="Roboto" w:hAnsi="Roboto" w:eastAsia="Roboto" w:cs="Roboto"/>
          <w:sz w:val="24"/>
          <w:szCs w:val="24"/>
        </w:rPr>
        <w:t xml:space="preserve">                       ▼</w:t>
      </w:r>
      <w:r/>
    </w:p>
    <w:p w14:paraId="20D5E0E8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Better Market Intelligence</w:t>
      </w:r>
      <w:r/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/>
    </w:p>
    <w:p w14:paraId="32400A5A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│</w:t>
      </w:r>
      <w:r>
        <w:rPr>
          <w:rFonts w:ascii="Roboto" w:hAnsi="Roboto" w:eastAsia="Roboto" w:cs="Roboto"/>
          <w:sz w:val="24"/>
          <w:szCs w:val="24"/>
        </w:rPr>
      </w:r>
    </w:p>
    <w:p w14:paraId="20A05DD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                ▼</w:t>
      </w:r>
      <w:r>
        <w:rPr>
          <w:rFonts w:ascii="Roboto" w:hAnsi="Roboto" w:eastAsia="Roboto" w:cs="Roboto"/>
          <w:sz w:val="24"/>
          <w:szCs w:val="24"/>
        </w:rPr>
      </w:r>
    </w:p>
    <w:p>
      <w:pPr>
        <w:pBdr/>
        <w:spacing/>
        <w:ind/>
        <w:rPr>
          <w:rFonts w:ascii="Roboto" w:hAnsi="Roboto" w:eastAsia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</w:rPr>
        <w:t xml:space="preserve">              Better Market Intelligence (COF-101)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0E88FB03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543B63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Technical</w:t>
      </w:r>
      <w:r>
        <w:rPr>
          <w:rFonts w:ascii="Roboto" w:hAnsi="Roboto" w:eastAsia="Roboto" w:cs="Roboto"/>
        </w:rPr>
      </w:r>
    </w:p>
    <w:p w14:paraId="64A51C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AnchorOS modules</w:t>
      </w:r>
      <w:r>
        <w:rPr>
          <w:rFonts w:ascii="Roboto" w:hAnsi="Roboto" w:eastAsia="Roboto" w:cs="Roboto"/>
        </w:rPr>
      </w:r>
    </w:p>
    <w:p w14:paraId="58DB9E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APIs</w:t>
      </w:r>
      <w:r>
        <w:rPr>
          <w:rFonts w:ascii="Roboto" w:hAnsi="Roboto" w:eastAsia="Roboto" w:cs="Roboto"/>
        </w:rPr>
      </w:r>
    </w:p>
    <w:p w14:paraId="78AACC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automation</w:t>
      </w:r>
      <w:r>
        <w:rPr>
          <w:rFonts w:ascii="Roboto" w:hAnsi="Roboto" w:eastAsia="Roboto" w:cs="Roboto"/>
        </w:rPr>
      </w:r>
    </w:p>
    <w:p w14:paraId="3DB35D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testing</w:t>
      </w:r>
      <w:r>
        <w:rPr>
          <w:rFonts w:ascii="Roboto" w:hAnsi="Roboto" w:eastAsia="Roboto" w:cs="Roboto"/>
        </w:rPr>
      </w:r>
    </w:p>
    <w:p w14:paraId="185942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deployment</w:t>
      </w:r>
      <w:r>
        <w:rPr>
          <w:rFonts w:ascii="Roboto" w:hAnsi="Roboto" w:eastAsia="Roboto" w:cs="Roboto"/>
        </w:rPr>
      </w:r>
    </w:p>
    <w:p w14:paraId="487541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Commercial</w:t>
      </w:r>
      <w:r>
        <w:rPr>
          <w:rFonts w:ascii="Roboto" w:hAnsi="Roboto" w:eastAsia="Roboto" w:cs="Roboto"/>
        </w:rPr>
      </w:r>
    </w:p>
    <w:p w14:paraId="36B97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proposals</w:t>
      </w:r>
      <w:r>
        <w:rPr>
          <w:rFonts w:ascii="Roboto" w:hAnsi="Roboto" w:eastAsia="Roboto" w:cs="Roboto"/>
        </w:rPr>
      </w:r>
    </w:p>
    <w:p w14:paraId="561669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pricing</w:t>
      </w:r>
      <w:r>
        <w:rPr>
          <w:rFonts w:ascii="Roboto" w:hAnsi="Roboto" w:eastAsia="Roboto" w:cs="Roboto"/>
        </w:rPr>
      </w:r>
    </w:p>
    <w:p w14:paraId="401663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messaging</w:t>
      </w:r>
      <w:r>
        <w:rPr>
          <w:rFonts w:ascii="Roboto" w:hAnsi="Roboto" w:eastAsia="Roboto" w:cs="Roboto"/>
        </w:rPr>
      </w:r>
    </w:p>
    <w:p w14:paraId="77F6E8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demonstrations</w:t>
      </w:r>
      <w:r>
        <w:rPr>
          <w:rFonts w:ascii="Roboto" w:hAnsi="Roboto" w:eastAsia="Roboto" w:cs="Roboto"/>
        </w:rPr>
      </w:r>
    </w:p>
    <w:p w14:paraId="4779F1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onboarding</w:t>
      </w:r>
      <w:r>
        <w:rPr>
          <w:rFonts w:ascii="Roboto" w:hAnsi="Roboto" w:eastAsia="Roboto" w:cs="Roboto"/>
        </w:rPr>
      </w:r>
    </w:p>
    <w:p w14:paraId="327F62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Knowledge</w:t>
      </w:r>
      <w:r>
        <w:rPr>
          <w:rFonts w:ascii="Roboto" w:hAnsi="Roboto" w:eastAsia="Roboto" w:cs="Roboto"/>
        </w:rPr>
      </w:r>
    </w:p>
    <w:p w14:paraId="7855DD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prompts</w:t>
      </w:r>
      <w:r>
        <w:rPr>
          <w:rFonts w:ascii="Roboto" w:hAnsi="Roboto" w:eastAsia="Roboto" w:cs="Roboto"/>
        </w:rPr>
      </w:r>
    </w:p>
    <w:p w14:paraId="022AB3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documentation</w:t>
      </w:r>
      <w:r>
        <w:rPr>
          <w:rFonts w:ascii="Roboto" w:hAnsi="Roboto" w:eastAsia="Roboto" w:cs="Roboto"/>
        </w:rPr>
      </w:r>
    </w:p>
    <w:p w14:paraId="47C6FD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case studies</w:t>
      </w:r>
      <w:r>
        <w:rPr>
          <w:rFonts w:ascii="Roboto" w:hAnsi="Roboto" w:eastAsia="Roboto" w:cs="Roboto"/>
        </w:rPr>
      </w:r>
    </w:p>
    <w:p w14:paraId="33F3F7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competitive intelligence</w:t>
      </w:r>
      <w:r>
        <w:rPr>
          <w:rFonts w:ascii="Roboto" w:hAnsi="Roboto" w:eastAsia="Roboto" w:cs="Roboto"/>
        </w:rPr>
      </w:r>
    </w:p>
    <w:p w14:paraId="6846DB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market understanding</w:t>
      </w:r>
      <w:r>
        <w:rPr>
          <w:rFonts w:ascii="Roboto" w:hAnsi="Roboto" w:eastAsia="Roboto" w:cs="Roboto"/>
        </w:rPr>
      </w:r>
    </w:p>
    <w:p w14:paraId="539467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Evidence</w:t>
      </w:r>
      <w:r>
        <w:rPr>
          <w:rFonts w:ascii="Roboto" w:hAnsi="Roboto" w:eastAsia="Roboto" w:cs="Roboto"/>
        </w:rPr>
      </w:r>
    </w:p>
    <w:p w14:paraId="48B1D5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ROI numbers</w:t>
      </w:r>
      <w:r>
        <w:rPr>
          <w:rFonts w:ascii="Roboto" w:hAnsi="Roboto" w:eastAsia="Roboto" w:cs="Roboto"/>
        </w:rPr>
      </w:r>
    </w:p>
    <w:p w14:paraId="3B61CA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customer testimonials</w:t>
      </w:r>
      <w:r>
        <w:rPr>
          <w:rFonts w:ascii="Roboto" w:hAnsi="Roboto" w:eastAsia="Roboto" w:cs="Roboto"/>
        </w:rPr>
      </w:r>
    </w:p>
    <w:p w14:paraId="65A4CE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pilot data</w:t>
      </w:r>
      <w:r>
        <w:rPr>
          <w:rFonts w:ascii="Roboto" w:hAnsi="Roboto" w:eastAsia="Roboto" w:cs="Roboto"/>
        </w:rPr>
      </w:r>
    </w:p>
    <w:p w14:paraId="693CAA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operational metrics</w:t>
      </w:r>
      <w:r>
        <w:rPr>
          <w:rFonts w:ascii="Roboto" w:hAnsi="Roboto" w:eastAsia="Roboto" w:cs="Roboto"/>
        </w:rPr>
      </w:r>
    </w:p>
    <w:p w14:paraId="064A1B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Better success stories</w:t>
      </w:r>
      <w:r>
        <w:rPr>
          <w:rFonts w:ascii="Roboto" w:hAnsi="Roboto" w:eastAsia="Roboto" w:cs="Roboto"/>
        </w:rPr>
      </w:r>
    </w:p>
    <w:p w14:paraId="0CE08C7E">
      <w:pPr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A172F1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CFF1511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9D99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2026-08-02T02:58:56Z</dcterms:modified>
</cp:coreProperties>
</file>