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D68368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Opportunity Profile</w:t>
      </w:r>
      <w:r>
        <w:rPr>
          <w:rFonts w:ascii="Roboto" w:hAnsi="Roboto" w:eastAsia="Roboto" w:cs="Roboto"/>
        </w:rPr>
      </w:r>
    </w:p>
    <w:p w14:paraId="4045F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ID</w:t>
      </w:r>
      <w:r>
        <w:rPr>
          <w:rFonts w:ascii="Roboto" w:hAnsi="Roboto" w:eastAsia="Roboto" w:cs="Roboto"/>
        </w:rPr>
      </w:r>
    </w:p>
    <w:p w14:paraId="107947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OPP-FL-0001</w:t>
      </w:r>
      <w:r>
        <w:rPr>
          <w:rFonts w:ascii="Roboto" w:hAnsi="Roboto" w:eastAsia="Roboto" w:cs="Roboto"/>
        </w:rPr>
      </w:r>
    </w:p>
    <w:p w14:paraId="028CE9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Market</w:t>
      </w:r>
      <w:r>
        <w:rPr>
          <w:rFonts w:ascii="Roboto" w:hAnsi="Roboto" w:eastAsia="Roboto" w:cs="Roboto"/>
        </w:rPr>
      </w:r>
    </w:p>
    <w:p w14:paraId="63887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Florida</w:t>
      </w:r>
      <w:r>
        <w:rPr>
          <w:rFonts w:ascii="Roboto" w:hAnsi="Roboto" w:eastAsia="Roboto" w:cs="Roboto"/>
        </w:rPr>
      </w:r>
    </w:p>
    <w:p w14:paraId="0743F3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Sector</w:t>
      </w:r>
      <w:r>
        <w:rPr>
          <w:rFonts w:ascii="Roboto" w:hAnsi="Roboto" w:eastAsia="Roboto" w:cs="Roboto"/>
        </w:rPr>
      </w:r>
    </w:p>
    <w:p w14:paraId="4DD55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Electric Utilities</w:t>
      </w:r>
      <w:r>
        <w:rPr>
          <w:rFonts w:ascii="Roboto" w:hAnsi="Roboto" w:eastAsia="Roboto" w:cs="Roboto"/>
        </w:rPr>
      </w:r>
    </w:p>
    <w:p w14:paraId="5C9C6E2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Opportunity Type</w:t>
      </w:r>
      <w:r>
        <w:rPr>
          <w:rFonts w:ascii="Roboto" w:hAnsi="Roboto" w:eastAsia="Roboto" w:cs="Roboto"/>
        </w:rPr>
      </w:r>
    </w:p>
    <w:p w14:paraId="5E8589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 Infrastructure</w:t>
      </w:r>
      <w:r>
        <w:rPr>
          <w:rFonts w:ascii="Roboto" w:hAnsi="Roboto" w:eastAsia="Roboto" w:cs="Roboto"/>
        </w:rPr>
      </w:r>
    </w:p>
    <w:p w14:paraId="1810E2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Regulatory Model</w:t>
      </w:r>
      <w:r>
        <w:rPr>
          <w:rFonts w:ascii="Roboto" w:hAnsi="Roboto" w:eastAsia="Roboto" w:cs="Roboto"/>
        </w:rPr>
      </w:r>
    </w:p>
    <w:p w14:paraId="10569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Vertically Integrated Utility</w:t>
      </w:r>
      <w:r>
        <w:rPr>
          <w:rFonts w:ascii="Roboto" w:hAnsi="Roboto" w:eastAsia="Roboto" w:cs="Roboto"/>
        </w:rPr>
      </w:r>
    </w:p>
    <w:p w14:paraId="25C9DF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Primary Drivers</w:t>
      </w:r>
      <w:r>
        <w:rPr>
          <w:rFonts w:ascii="Roboto" w:hAnsi="Roboto" w:eastAsia="Roboto" w:cs="Roboto"/>
        </w:rPr>
      </w:r>
    </w:p>
    <w:p w14:paraId="13DB57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AI Data Centers</w:t>
      </w:r>
      <w:r>
        <w:rPr>
          <w:rFonts w:ascii="Roboto" w:hAnsi="Roboto" w:eastAsia="Roboto" w:cs="Roboto"/>
        </w:rPr>
      </w:r>
    </w:p>
    <w:p w14:paraId="68F580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Baseload Growth</w:t>
      </w:r>
      <w:r>
        <w:rPr>
          <w:rFonts w:ascii="Roboto" w:hAnsi="Roboto" w:eastAsia="Roboto" w:cs="Roboto"/>
        </w:rPr>
      </w:r>
    </w:p>
    <w:p w14:paraId="747F6C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Generation Expansion</w:t>
      </w:r>
      <w:r>
        <w:rPr>
          <w:rFonts w:ascii="Roboto" w:hAnsi="Roboto" w:eastAsia="Roboto" w:cs="Roboto"/>
        </w:rPr>
      </w:r>
    </w:p>
    <w:p w14:paraId="5A486C8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Water Constraints</w:t>
      </w:r>
      <w:r>
        <w:rPr>
          <w:rFonts w:ascii="Roboto" w:hAnsi="Roboto" w:eastAsia="Roboto" w:cs="Roboto"/>
        </w:rPr>
      </w:r>
    </w:p>
    <w:p w14:paraId="6798B6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Trigger Events</w:t>
      </w:r>
      <w:r>
        <w:rPr>
          <w:rFonts w:ascii="Roboto" w:hAnsi="Roboto" w:eastAsia="Roboto" w:cs="Roboto"/>
        </w:rPr>
      </w:r>
    </w:p>
    <w:p w14:paraId="06C9C67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FPSC Ten-Year Site Plans</w:t>
      </w:r>
      <w:r>
        <w:rPr>
          <w:rFonts w:ascii="Roboto" w:hAnsi="Roboto" w:eastAsia="Roboto" w:cs="Roboto"/>
        </w:rPr>
      </w:r>
    </w:p>
    <w:p w14:paraId="204B48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Determination of Need (DON)</w:t>
      </w:r>
      <w:r>
        <w:rPr>
          <w:rFonts w:ascii="Roboto" w:hAnsi="Roboto" w:eastAsia="Roboto" w:cs="Roboto"/>
        </w:rPr>
      </w:r>
    </w:p>
    <w:p w14:paraId="70DC51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IRP Updates</w:t>
      </w:r>
      <w:r>
        <w:rPr>
          <w:rFonts w:ascii="Roboto" w:hAnsi="Roboto" w:eastAsia="Roboto" w:cs="Roboto"/>
        </w:rPr>
      </w:r>
    </w:p>
    <w:p w14:paraId="29CFE9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Hyperscaler Announcements</w:t>
      </w:r>
      <w:r>
        <w:rPr>
          <w:rFonts w:ascii="Roboto" w:hAnsi="Roboto" w:eastAsia="Roboto" w:cs="Roboto"/>
        </w:rPr>
      </w:r>
    </w:p>
    <w:p w14:paraId="477D8A3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Target Utilities</w:t>
      </w:r>
      <w:r>
        <w:rPr>
          <w:rFonts w:ascii="Roboto" w:hAnsi="Roboto" w:eastAsia="Roboto" w:cs="Roboto"/>
        </w:rPr>
      </w:r>
    </w:p>
    <w:p w14:paraId="6C4B4A0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Florida Power &amp; Light</w:t>
      </w:r>
      <w:r>
        <w:rPr>
          <w:rFonts w:ascii="Roboto" w:hAnsi="Roboto" w:eastAsia="Roboto" w:cs="Roboto"/>
        </w:rPr>
      </w:r>
    </w:p>
    <w:p w14:paraId="4C00DA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Duke Energy Florida</w:t>
      </w:r>
      <w:r>
        <w:rPr>
          <w:rFonts w:ascii="Roboto" w:hAnsi="Roboto" w:eastAsia="Roboto" w:cs="Roboto"/>
        </w:rPr>
      </w:r>
    </w:p>
    <w:p w14:paraId="27F735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JEA</w:t>
      </w:r>
      <w:r>
        <w:rPr>
          <w:rFonts w:ascii="Roboto" w:hAnsi="Roboto" w:eastAsia="Roboto" w:cs="Roboto"/>
        </w:rPr>
      </w:r>
    </w:p>
    <w:p w14:paraId="10B84A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Expected Contract Types</w:t>
      </w:r>
      <w:r>
        <w:rPr>
          <w:rFonts w:ascii="Roboto" w:hAnsi="Roboto" w:eastAsia="Roboto" w:cs="Roboto"/>
        </w:rPr>
      </w:r>
    </w:p>
    <w:p w14:paraId="618BD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Generation</w:t>
      </w:r>
      <w:r>
        <w:rPr>
          <w:rFonts w:ascii="Roboto" w:hAnsi="Roboto" w:eastAsia="Roboto" w:cs="Roboto"/>
        </w:rPr>
      </w:r>
    </w:p>
    <w:p w14:paraId="3BD74B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FEED</w:t>
      </w:r>
      <w:r>
        <w:rPr>
          <w:rFonts w:ascii="Roboto" w:hAnsi="Roboto" w:eastAsia="Roboto" w:cs="Roboto"/>
        </w:rPr>
      </w:r>
    </w:p>
    <w:p w14:paraId="3A0602C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Combined Cycle</w:t>
      </w:r>
      <w:r>
        <w:rPr>
          <w:rFonts w:ascii="Roboto" w:hAnsi="Roboto" w:eastAsia="Roboto" w:cs="Roboto"/>
        </w:rPr>
      </w:r>
    </w:p>
    <w:p w14:paraId="54D330A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Nuclear</w:t>
      </w:r>
      <w:r>
        <w:rPr>
          <w:rFonts w:ascii="Roboto" w:hAnsi="Roboto" w:eastAsia="Roboto" w:cs="Roboto"/>
        </w:rPr>
      </w:r>
    </w:p>
    <w:p w14:paraId="2A9E25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Gas</w:t>
      </w:r>
      <w:r>
        <w:rPr>
          <w:rFonts w:ascii="Roboto" w:hAnsi="Roboto" w:eastAsia="Roboto" w:cs="Roboto"/>
        </w:rPr>
      </w:r>
    </w:p>
    <w:p w14:paraId="27F5B4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Transmission</w:t>
      </w:r>
      <w:r>
        <w:rPr>
          <w:rFonts w:ascii="Roboto" w:hAnsi="Roboto" w:eastAsia="Roboto" w:cs="Roboto"/>
        </w:rPr>
      </w:r>
    </w:p>
    <w:p w14:paraId="6FAE7E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230kV</w:t>
      </w:r>
      <w:r>
        <w:rPr>
          <w:rFonts w:ascii="Roboto" w:hAnsi="Roboto" w:eastAsia="Roboto" w:cs="Roboto"/>
        </w:rPr>
      </w:r>
    </w:p>
    <w:p w14:paraId="677FC65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500kV</w:t>
      </w:r>
      <w:r>
        <w:rPr>
          <w:rFonts w:ascii="Roboto" w:hAnsi="Roboto" w:eastAsia="Roboto" w:cs="Roboto"/>
        </w:rPr>
      </w:r>
    </w:p>
    <w:p w14:paraId="6E6EBF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Routing</w:t>
      </w:r>
      <w:r>
        <w:rPr>
          <w:rFonts w:ascii="Roboto" w:hAnsi="Roboto" w:eastAsia="Roboto" w:cs="Roboto"/>
        </w:rPr>
      </w:r>
    </w:p>
    <w:p w14:paraId="7F3B49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Distribution</w:t>
      </w:r>
      <w:r>
        <w:rPr>
          <w:rFonts w:ascii="Roboto" w:hAnsi="Roboto" w:eastAsia="Roboto" w:cs="Roboto"/>
        </w:rPr>
      </w:r>
    </w:p>
    <w:p w14:paraId="370E45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Substations</w:t>
      </w:r>
      <w:r>
        <w:rPr>
          <w:rFonts w:ascii="Roboto" w:hAnsi="Roboto" w:eastAsia="Roboto" w:cs="Roboto"/>
        </w:rPr>
      </w:r>
    </w:p>
    <w:p w14:paraId="3BCB02E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Feeders</w:t>
      </w:r>
      <w:r>
        <w:rPr>
          <w:rFonts w:ascii="Roboto" w:hAnsi="Roboto" w:eastAsia="Roboto" w:cs="Roboto"/>
        </w:rPr>
      </w:r>
    </w:p>
    <w:p w14:paraId="66644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Mechanical</w:t>
      </w:r>
      <w:r>
        <w:rPr>
          <w:rFonts w:ascii="Roboto" w:hAnsi="Roboto" w:eastAsia="Roboto" w:cs="Roboto"/>
        </w:rPr>
      </w:r>
    </w:p>
    <w:p w14:paraId="199F388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Liquid Cooling</w:t>
      </w:r>
      <w:r>
        <w:rPr>
          <w:rFonts w:ascii="Roboto" w:hAnsi="Roboto" w:eastAsia="Roboto" w:cs="Roboto"/>
        </w:rPr>
      </w:r>
    </w:p>
    <w:p w14:paraId="4B9FD5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Direct-to-Chip</w:t>
      </w:r>
      <w:r>
        <w:rPr>
          <w:rFonts w:ascii="Roboto" w:hAnsi="Roboto" w:eastAsia="Roboto" w:cs="Roboto"/>
        </w:rPr>
      </w:r>
    </w:p>
    <w:p w14:paraId="75770C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HVAC</w:t>
      </w:r>
      <w:r>
        <w:rPr>
          <w:rFonts w:ascii="Roboto" w:hAnsi="Roboto" w:eastAsia="Roboto" w:cs="Roboto"/>
        </w:rPr>
      </w:r>
    </w:p>
    <w:p w14:paraId="03E66F7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Time Horizon</w:t>
      </w:r>
      <w:r>
        <w:rPr>
          <w:rFonts w:ascii="Roboto" w:hAnsi="Roboto" w:eastAsia="Roboto" w:cs="Roboto"/>
        </w:rPr>
      </w:r>
    </w:p>
    <w:p w14:paraId="7F6CEB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18–36 Months</w:t>
      </w:r>
      <w:r>
        <w:rPr>
          <w:rFonts w:ascii="Roboto" w:hAnsi="Roboto" w:eastAsia="Roboto" w:cs="Roboto"/>
        </w:rPr>
      </w:r>
    </w:p>
    <w:p w14:paraId="013979F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Confidence</w:t>
      </w:r>
      <w:r>
        <w:rPr>
          <w:rFonts w:ascii="Roboto" w:hAnsi="Roboto" w:eastAsia="Roboto" w:cs="Roboto"/>
        </w:rPr>
      </w:r>
    </w:p>
    <w:p w14:paraId="07D78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High</w:t>
      </w:r>
      <w:r>
        <w:rPr>
          <w:rFonts w:ascii="Roboto" w:hAnsi="Roboto" w:eastAsia="Roboto" w:cs="Roboto"/>
        </w:rPr>
      </w:r>
    </w:p>
    <w:p w14:paraId="337AF3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Evidence Sources</w:t>
      </w:r>
      <w:r>
        <w:rPr>
          <w:rFonts w:ascii="Roboto" w:hAnsi="Roboto" w:eastAsia="Roboto" w:cs="Roboto"/>
        </w:rPr>
      </w:r>
    </w:p>
    <w:p w14:paraId="2DAFE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Instead of just citing one report, AnchorIntel would maintain an evolving evidence list:</w:t>
      </w:r>
      <w:r>
        <w:rPr>
          <w:rFonts w:ascii="Roboto" w:hAnsi="Roboto" w:eastAsia="Roboto" w:cs="Roboto"/>
        </w:rPr>
      </w:r>
    </w:p>
    <w:p w14:paraId="6A5DAE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FPSC filings</w:t>
      </w:r>
      <w:r>
        <w:rPr>
          <w:rFonts w:ascii="Roboto" w:hAnsi="Roboto" w:eastAsia="Roboto" w:cs="Roboto"/>
        </w:rPr>
      </w:r>
    </w:p>
    <w:p w14:paraId="3354EEE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Utility IRPs</w:t>
      </w:r>
      <w:r>
        <w:rPr>
          <w:rFonts w:ascii="Roboto" w:hAnsi="Roboto" w:eastAsia="Roboto" w:cs="Roboto"/>
        </w:rPr>
      </w:r>
    </w:p>
    <w:p w14:paraId="7471625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Earnings calls</w:t>
      </w:r>
      <w:r>
        <w:rPr>
          <w:rFonts w:ascii="Roboto" w:hAnsi="Roboto" w:eastAsia="Roboto" w:cs="Roboto"/>
        </w:rPr>
      </w:r>
    </w:p>
    <w:p w14:paraId="73F1C0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Hyperscaler announcements</w:t>
      </w:r>
      <w:r>
        <w:rPr>
          <w:rFonts w:ascii="Roboto" w:hAnsi="Roboto" w:eastAsia="Roboto" w:cs="Roboto"/>
        </w:rPr>
      </w:r>
    </w:p>
    <w:p w14:paraId="4BE0039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Engineering News</w:t>
      </w:r>
      <w:r>
        <w:rPr>
          <w:rFonts w:ascii="Roboto" w:hAnsi="Roboto" w:eastAsia="Roboto" w:cs="Roboto"/>
        </w:rPr>
      </w:r>
    </w:p>
    <w:p w14:paraId="1E88E0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Regulatory dockets</w:t>
      </w:r>
      <w:r>
        <w:rPr>
          <w:rFonts w:ascii="Roboto" w:hAnsi="Roboto" w:eastAsia="Roboto" w:cs="Roboto"/>
        </w:rPr>
      </w:r>
    </w:p>
    <w:p w14:paraId="4CA999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Each new piece of evidence strengthens or weakens the opportunity over time.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7994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2026-07-18T01:56:31Z</dcterms:modified>
</cp:coreProperties>
</file>