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400"/>
        <w:ind/>
        <w:jc w:val="center"/>
        <w:rPr/>
      </w:pPr>
      <w:r>
        <w:rPr>
          <w:rFonts w:ascii="Noto Sans" w:hAnsi="Noto Sans"/>
          <w:b/>
          <w:color w:val="1f4e78"/>
          <w:sz w:val="48"/>
        </w:rPr>
        <w:t xml:space="preserve">AIN-100</w:t>
      </w:r>
      <w:r/>
    </w:p>
    <w:p>
      <w:pPr>
        <w:pBdr/>
        <w:spacing/>
        <w:ind/>
        <w:jc w:val="center"/>
        <w:rPr/>
      </w:pPr>
      <w:r>
        <w:rPr>
          <w:rFonts w:ascii="Noto Sans" w:hAnsi="Noto Sans"/>
          <w:b/>
          <w:color w:val="1f4e78"/>
          <w:sz w:val="56"/>
        </w:rPr>
        <w:t xml:space="preserve">AnchorInsight™ Architecture</w:t>
      </w:r>
      <w:r/>
    </w:p>
    <w:p>
      <w:pPr>
        <w:pBdr/>
        <w:spacing/>
        <w:ind/>
        <w:jc w:val="center"/>
        <w:rPr/>
      </w:pPr>
      <w:r>
        <w:rPr>
          <w:rFonts w:ascii="Noto Sans" w:hAnsi="Noto Sans"/>
          <w:color w:val="4f6275"/>
          <w:sz w:val="28"/>
        </w:rPr>
        <w:t xml:space="preserve">Commercial Intelligence Application Architecture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8"/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Attribute</w:t>
            </w:r>
            <w:r/>
          </w:p>
        </w:tc>
        <w:tc>
          <w:tcPr>
            <w:shd w:val="clear" w:color="auto" w:fill="1f4e78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Value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Product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AnchorInsight™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Platform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AnchorOS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Governance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Commercial Operating Framework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Document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AIN-100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Version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1.0 Draft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Owner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Sirius Logic Systems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Initial Build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Database, scoring, and one-page organization dashboard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color w:val="1f4e78"/>
          <w:sz w:val="24"/>
        </w:rPr>
        <w:t xml:space="preserve">Core Question</w:t>
      </w:r>
      <w:r/>
    </w:p>
    <w:p>
      <w:pPr>
        <w:pBdr/>
        <w:spacing/>
        <w:ind/>
        <w:jc w:val="center"/>
        <w:rPr/>
      </w:pPr>
      <w:r>
        <w:rPr>
          <w:b/>
          <w:sz w:val="32"/>
        </w:rPr>
        <w:t xml:space="preserve">What is the next justified commercial action?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3"/>
        <w:pBdr/>
        <w:spacing/>
        <w:ind/>
        <w:rPr/>
      </w:pPr>
      <w:r>
        <w:t xml:space="preserve">1. Purpose</w:t>
      </w:r>
      <w:r/>
    </w:p>
    <w:p>
      <w:pPr>
        <w:pBdr/>
        <w:spacing/>
        <w:ind/>
        <w:rPr/>
      </w:pPr>
      <w:r>
        <w:t xml:space="preserve">AIN-100 defines the reference archi</w:t>
      </w:r>
      <w:r>
        <w:t xml:space="preserve">tecture for AnchorInsight™, the commercial intelligence application of Sirius Logic Systems. AnchorInsight converts market, organization, relationship, opportunity, evidence, assessment, scoring, and action data into a traceable commercial decision system.</w:t>
      </w:r>
      <w:r/>
    </w:p>
    <w:p>
      <w:pPr>
        <w:pBdr/>
        <w:spacing/>
        <w:ind/>
        <w:rPr/>
      </w:pPr>
      <w:r>
        <w:t xml:space="preserve">The architecture is designed to make commercial intelligence immedia</w:t>
      </w:r>
      <w:r>
        <w:t xml:space="preserve">tely available, historically traceable, continuously reassessable, and scalable across infrastructure-intensive markets including utilities, healthcare systems, universities, airports, military installations, manufacturing, data centers, and water systems.</w:t>
      </w:r>
      <w:r/>
    </w:p>
    <w:p>
      <w:pPr>
        <w:pStyle w:val="713"/>
        <w:pBdr/>
        <w:spacing/>
        <w:ind/>
        <w:rPr/>
      </w:pPr>
      <w:r>
        <w:t xml:space="preserve">2. Scope</w:t>
      </w:r>
      <w:r/>
    </w:p>
    <w:p>
      <w:pPr>
        <w:pStyle w:val="743"/>
        <w:pBdr/>
        <w:spacing w:after="40"/>
        <w:ind/>
        <w:rPr/>
      </w:pPr>
      <w:r>
        <w:t xml:space="preserve">Commercial intelligence data model and system boundaries.</w:t>
      </w:r>
      <w:r/>
    </w:p>
    <w:p>
      <w:pPr>
        <w:pStyle w:val="743"/>
        <w:pBdr/>
        <w:spacing w:after="40"/>
        <w:ind/>
        <w:rPr/>
      </w:pPr>
      <w:r>
        <w:t xml:space="preserve">COF tracking identifiers and record lineage.</w:t>
      </w:r>
      <w:r/>
    </w:p>
    <w:p>
      <w:pPr>
        <w:pStyle w:val="743"/>
        <w:pBdr/>
        <w:spacing w:after="40"/>
        <w:ind/>
        <w:rPr/>
      </w:pPr>
      <w:r>
        <w:t xml:space="preserve">Market, organization, opportunity, evidence, assessment, action, and relationship records.</w:t>
      </w:r>
      <w:r/>
    </w:p>
    <w:p>
      <w:pPr>
        <w:pStyle w:val="743"/>
        <w:pBdr/>
        <w:spacing w:after="40"/>
        <w:ind/>
        <w:rPr/>
      </w:pPr>
      <w:r>
        <w:t xml:space="preserve">Versioned scoring and trend history.</w:t>
      </w:r>
      <w:r/>
    </w:p>
    <w:p>
      <w:pPr>
        <w:pStyle w:val="743"/>
        <w:pBdr/>
        <w:spacing w:after="40"/>
        <w:ind/>
        <w:rPr/>
      </w:pPr>
      <w:r>
        <w:t xml:space="preserve">One-page organization dashboard.</w:t>
      </w:r>
      <w:r/>
    </w:p>
    <w:p>
      <w:pPr>
        <w:pStyle w:val="743"/>
        <w:pBdr/>
        <w:spacing w:after="40"/>
        <w:ind/>
        <w:rPr/>
      </w:pPr>
      <w:r>
        <w:t xml:space="preserve">AnchorOS platform-service integration.</w:t>
      </w:r>
      <w:r/>
    </w:p>
    <w:p>
      <w:pPr>
        <w:pStyle w:val="743"/>
        <w:pBdr/>
        <w:spacing w:after="40"/>
        <w:ind/>
        <w:rPr/>
      </w:pPr>
      <w:r>
        <w:t xml:space="preserve">Security, auditability, backup, and future multi-user growth.</w:t>
      </w:r>
      <w:r/>
    </w:p>
    <w:p>
      <w:pPr>
        <w:pStyle w:val="743"/>
        <w:pBdr/>
        <w:spacing w:after="40"/>
        <w:ind/>
        <w:rPr/>
      </w:pPr>
      <w:r>
        <w:t xml:space="preserve">MVP boundaries and phased implementation roadmap.</w:t>
      </w:r>
      <w:r/>
    </w:p>
    <w:p>
      <w:pPr>
        <w:pStyle w:val="713"/>
        <w:pBdr/>
        <w:spacing/>
        <w:ind/>
        <w:rPr/>
      </w:pPr>
      <w:r>
        <w:t xml:space="preserve">3. Governing Doctrine</w:t>
      </w:r>
      <w:r/>
    </w:p>
    <w:p>
      <w:pPr>
        <w:pStyle w:val="765"/>
        <w:pBdr/>
        <w:spacing/>
        <w:ind/>
        <w:rPr/>
      </w:pPr>
      <w:r>
        <w:t xml:space="preserve">Commercial effort must never outlive the conditions that justify pursuing it.</w:t>
      </w:r>
      <w:r/>
    </w:p>
    <w:p>
      <w:pPr>
        <w:pBdr/>
        <w:spacing/>
        <w:ind/>
        <w:rPr/>
      </w:pPr>
      <w:r>
        <w:t xml:space="preserve">AnchorInsight SHALL preserve the evidence, assumptions, scores, decisions, and review triggers needed to determine whether commercial pursuit remains justified as conditions change.</w:t>
      </w:r>
      <w:r/>
    </w:p>
    <w:p>
      <w:pPr>
        <w:pStyle w:val="713"/>
        <w:pBdr/>
        <w:spacing/>
        <w:ind/>
        <w:rPr/>
      </w:pPr>
      <w:r>
        <w:t xml:space="preserve">4. Architecture Principles</w:t>
      </w:r>
      <w:r/>
    </w:p>
    <w:p>
      <w:pPr>
        <w:pStyle w:val="746"/>
        <w:pBdr/>
        <w:spacing w:after="40"/>
        <w:ind/>
        <w:rPr/>
      </w:pPr>
      <w:r>
        <w:t xml:space="preserve">Evidence before enthusiasm — recommendations SHALL be traceable to evidence.</w:t>
      </w:r>
      <w:r/>
    </w:p>
    <w:p>
      <w:pPr>
        <w:pStyle w:val="746"/>
        <w:pBdr/>
        <w:spacing w:after="40"/>
        <w:ind/>
        <w:rPr/>
      </w:pPr>
      <w:r>
        <w:t xml:space="preserve">History is preserved — scores and decisions SHALL be versioned, never silently overwritten.</w:t>
      </w:r>
      <w:r/>
    </w:p>
    <w:p>
      <w:pPr>
        <w:pStyle w:val="746"/>
        <w:pBdr/>
        <w:spacing w:after="40"/>
        <w:ind/>
        <w:rPr/>
      </w:pPr>
      <w:r>
        <w:t xml:space="preserve">Human-readable identifiers — business records SHALL carry stable COF IDs in addition to internal database keys.</w:t>
      </w:r>
      <w:r/>
    </w:p>
    <w:p>
      <w:pPr>
        <w:pStyle w:val="746"/>
        <w:pBdr/>
        <w:spacing w:after="40"/>
        <w:ind/>
        <w:rPr/>
      </w:pPr>
      <w:r>
        <w:t xml:space="preserve">One-page clarity — each organization SHALL have a concise executive dashboard with drill-down detail.</w:t>
      </w:r>
      <w:r/>
    </w:p>
    <w:p>
      <w:pPr>
        <w:pStyle w:val="746"/>
        <w:pBdr/>
        <w:spacing w:after="40"/>
        <w:ind/>
        <w:rPr/>
      </w:pPr>
      <w:r>
        <w:t xml:space="preserve">COF-governed workflow — market and opportunity progression SHALL follow Commercial Operating Framework states and gates.</w:t>
      </w:r>
      <w:r/>
    </w:p>
    <w:p>
      <w:pPr>
        <w:pStyle w:val="746"/>
        <w:pBdr/>
        <w:spacing w:after="40"/>
        <w:ind/>
        <w:rPr/>
      </w:pPr>
      <w:r>
        <w:t xml:space="preserve">AnchorOS-native operation — audit, events, health, configuration, and registry services SHALL be reused rather than duplicated.</w:t>
      </w:r>
      <w:r/>
    </w:p>
    <w:p>
      <w:pPr>
        <w:pStyle w:val="746"/>
        <w:pBdr/>
        <w:spacing w:after="40"/>
        <w:ind/>
        <w:rPr/>
      </w:pPr>
      <w:r>
        <w:t xml:space="preserve">Simple first build — Version 1 SHALL favor a local, reliable implementation over premature enterprise complexity.</w:t>
      </w:r>
      <w:r/>
    </w:p>
    <w:p>
      <w:pPr>
        <w:pStyle w:val="746"/>
        <w:pBdr/>
        <w:spacing w:after="40"/>
        <w:ind/>
        <w:rPr/>
      </w:pPr>
      <w:r>
        <w:t xml:space="preserve">Expandable architecture — the model SHALL support migration from SQLite to PostgreSQL without redesigning the business domain.</w:t>
      </w:r>
      <w:r/>
    </w:p>
    <w:p>
      <w:pPr>
        <w:pStyle w:val="713"/>
        <w:pBdr/>
        <w:spacing/>
        <w:ind/>
        <w:rPr/>
      </w:pPr>
      <w:r>
        <w:t xml:space="preserve">5. System Context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66"/>
      </w:tblGrid>
      <w:tr>
        <w:trPr>
          <w:cantSplit/>
        </w:trPr>
        <w:tc>
          <w:tcPr>
            <w:shd w:val="clear" w:color="auto" w:fill="eef3f8"/>
            <w:tcBorders/>
            <w:tcW w:w="10166" w:type="dxa"/>
          </w:tcPr>
          <w:p>
            <w:pPr>
              <w:pBdr/>
              <w:spacing/>
              <w:ind w:left="115"/>
              <w:rPr/>
            </w:pPr>
            <w:r>
              <w:rPr>
                <w:rFonts w:ascii="DejaVu Sans Mono" w:hAnsi="DejaVu Sans Mono"/>
                <w:sz w:val="17"/>
              </w:rPr>
              <w:t xml:space="preserve">Commercial Operating Framework</w:t>
              <w:br/>
              <w:t xml:space="preserve">        │</w:t>
              <w:br/>
              <w:t xml:space="preserve">        ▼</w:t>
              <w:br/>
              <w:t xml:space="preserve">AnchorInsight™</w:t>
              <w:br/>
              <w:t xml:space="preserve">        │</w:t>
              <w:br/>
              <w:t xml:space="preserve">        ▼</w:t>
              <w:br/>
              <w:t xml:space="preserve">AnchorOS Platform Services</w:t>
              <w:br/>
              <w:t xml:space="preserve">Registry | Audit | Event Bus | Configuration | Health | Knowledge</w:t>
              <w:br/>
              <w:t xml:space="preserve">        │</w:t>
              <w:br/>
              <w:t xml:space="preserve">        ▼</w:t>
              <w:br/>
              <w:t xml:space="preserve">SQLite (MVP) → PostgreSQL (Scale)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COF defines how commercialization is governed. AnchorInsight implements the governed records, scorecards, reviews, dashboards, and decisions. AnchorOS supplies common operational services.</w:t>
      </w:r>
      <w:r/>
    </w:p>
    <w:p>
      <w:pPr>
        <w:pStyle w:val="713"/>
        <w:pBdr/>
        <w:spacing/>
        <w:ind/>
        <w:rPr/>
      </w:pPr>
      <w:r>
        <w:t xml:space="preserve">6. Primary Users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8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User</w:t>
            </w:r>
            <w:r/>
          </w:p>
        </w:tc>
        <w:tc>
          <w:tcPr>
            <w:shd w:val="clear" w:color="auto" w:fill="1f4e78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Primary Need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Executive Sponsor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See commercial health, priority, risk, and next justified action.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Market Intelligence Lead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Maintain markets, evidence, assessments, and reassessment schedules.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Product Lead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Evaluate technical fit, product alignment, and reusable capability.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Sales / Relationship Lead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Manage organizations, contacts, relationships, and next actions.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Customer Success Lead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Capture delivery evidence, retention signals, and organizational learning.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System Administrator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Manage configuration, backups, access, migrations, and health.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7. Capability Model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8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Capability</w:t>
            </w:r>
            <w:r/>
          </w:p>
        </w:tc>
        <w:tc>
          <w:tcPr>
            <w:shd w:val="clear" w:color="auto" w:fill="1f4e78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Description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Market Intelligence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Define, score, review, and compare markets under COF-101 and COF-101A.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Organization Intelligence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Maintain a living dossier for each organization and its strategic role.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Opportunity Intelligence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Qualify specific commercial opportunities under COF-102.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Evidence Management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Link sourced evidence to assertions, scores, risks, and decisions.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Assessment Management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Create versioned market, organization, opportunity, viability, and relationship assessments.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Scoring &amp; Trends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Calculate current scores while retaining every historical scorecard.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Action Governance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Assign, track, complete, and verify justified next actions.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Dashboard &amp; Search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Provide fast one-page views, filters, and cross-market comparison.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Audit &amp; Events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Record changes and publish lifecycle, score, and review events through AnchorOS.</w:t>
            </w:r>
            <w:r/>
          </w:p>
        </w:tc>
      </w:tr>
    </w:tbl>
    <w:p>
      <w:pPr>
        <w:pBdr/>
        <w:spacing/>
        <w:ind/>
        <w:rPr/>
      </w:pPr>
      <w:r/>
      <w:r/>
    </w:p>
    <w:p w14:paraId="4CA6D5B5">
      <w:pPr>
        <w:pStyle w:val="71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pBdr/>
        <w:spacing/>
        <w:ind/>
        <w:rPr>
          <w:highlight w:val="none"/>
        </w:rPr>
      </w:pPr>
      <w:r>
        <w:t xml:space="preserve">8. Core Domain Model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66"/>
      </w:tblGrid>
      <w:tr>
        <w:trPr>
          <w:cantSplit/>
        </w:trPr>
        <w:tc>
          <w:tcPr>
            <w:shd w:val="clear" w:color="auto" w:fill="eef3f8"/>
            <w:tcBorders/>
            <w:tcW w:w="10166" w:type="dxa"/>
          </w:tcPr>
          <w:p>
            <w:pPr>
              <w:pBdr/>
              <w:spacing/>
              <w:ind w:left="115"/>
              <w:rPr/>
            </w:pPr>
            <w:r>
              <w:rPr>
                <w:rFonts w:ascii="DejaVu Sans Mono" w:hAnsi="DejaVu Sans Mono"/>
                <w:sz w:val="17"/>
              </w:rPr>
              <w:t xml:space="preserve">Market</w:t>
              <w:br/>
              <w:t xml:space="preserve">├── Organizations</w:t>
              <w:br/>
              <w:t xml:space="preserve">│   ├── Contacts</w:t>
              <w:br/>
              <w:t xml:space="preserve">│   ├── Relationships</w:t>
              <w:br/>
              <w:t xml:space="preserve">│   ├── Opportunities</w:t>
              <w:br/>
              <w:t xml:space="preserve">│   ├── Evidence</w:t>
              <w:br/>
              <w:t xml:space="preserve">│   ├── Assessments</w:t>
              <w:br/>
              <w:t xml:space="preserve">│   ├── Scorecards</w:t>
              <w:br/>
              <w:t xml:space="preserve">│   └── Actions</w:t>
              <w:br/>
              <w:t xml:space="preserve">├── Market Evidence</w:t>
              <w:br/>
              <w:t xml:space="preserve">├── Market Assessments</w:t>
              <w:br/>
              <w:t xml:space="preserve">└── Market Scorecards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8"/>
            <w:tcBorders/>
            <w:tcW w:w="20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Entity</w:t>
            </w:r>
            <w:r/>
          </w:p>
        </w:tc>
        <w:tc>
          <w:tcPr>
            <w:shd w:val="clear" w:color="auto" w:fill="1f4e78"/>
            <w:tcBorders/>
            <w:tcW w:w="56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Purpose</w:t>
            </w:r>
            <w:r/>
          </w:p>
        </w:tc>
        <w:tc>
          <w:tcPr>
            <w:shd w:val="clear" w:color="auto" w:fill="1f4e78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Primary COF ID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Market</w:t>
            </w:r>
            <w:r/>
          </w:p>
        </w:tc>
        <w:tc>
          <w:tcPr>
            <w:tcBorders/>
            <w:tcW w:w="56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bounded commercial market qualified under COF-101.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COF-MKT-YYYY-NNN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0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Organization</w:t>
            </w:r>
            <w:r/>
          </w:p>
        </w:tc>
        <w:tc>
          <w:tcPr>
            <w:shd w:val="clear" w:color="auto" w:fill="f3f6f9"/>
            <w:tcBorders/>
            <w:tcW w:w="56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customer, partner, platform, supplier, advisor, or ecosystem organization.</w:t>
            </w:r>
            <w:r/>
          </w:p>
        </w:tc>
        <w:tc>
          <w:tcPr>
            <w:shd w:val="clear" w:color="auto" w:fill="f3f6f9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COF-ORG-YYYY-NNN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Contact</w:t>
            </w:r>
            <w:r/>
          </w:p>
        </w:tc>
        <w:tc>
          <w:tcPr>
            <w:tcBorders/>
            <w:tcW w:w="56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person associated with an organization.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COF-CON-YYYY-NNN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0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Relationship</w:t>
            </w:r>
            <w:r/>
          </w:p>
        </w:tc>
        <w:tc>
          <w:tcPr>
            <w:shd w:val="clear" w:color="auto" w:fill="f3f6f9"/>
            <w:tcBorders/>
            <w:tcW w:w="56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tracked relationship between people or organizations.</w:t>
            </w:r>
            <w:r/>
          </w:p>
        </w:tc>
        <w:tc>
          <w:tcPr>
            <w:shd w:val="clear" w:color="auto" w:fill="f3f6f9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COF-REL-YYYY-NNN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Opportunity</w:t>
            </w:r>
            <w:r/>
          </w:p>
        </w:tc>
        <w:tc>
          <w:tcPr>
            <w:tcBorders/>
            <w:tcW w:w="56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specific commercial, partnership, grant, pilot, or strategic opportunity.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COF-OPP-YYYY-NNN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0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Evidence</w:t>
            </w:r>
            <w:r/>
          </w:p>
        </w:tc>
        <w:tc>
          <w:tcPr>
            <w:shd w:val="clear" w:color="auto" w:fill="f3f6f9"/>
            <w:tcBorders/>
            <w:tcW w:w="56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sourced assertion supporting or challenging a decision.</w:t>
            </w:r>
            <w:r/>
          </w:p>
        </w:tc>
        <w:tc>
          <w:tcPr>
            <w:shd w:val="clear" w:color="auto" w:fill="f3f6f9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COF-EV-YYYY-NNN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Assessment</w:t>
            </w:r>
            <w:r/>
          </w:p>
        </w:tc>
        <w:tc>
          <w:tcPr>
            <w:tcBorders/>
            <w:tcW w:w="56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governed evaluation of a market, organization, or opportunity.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COF-AST-YYYY-NNN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0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Scorecard</w:t>
            </w:r>
            <w:r/>
          </w:p>
        </w:tc>
        <w:tc>
          <w:tcPr>
            <w:shd w:val="clear" w:color="auto" w:fill="f3f6f9"/>
            <w:tcBorders/>
            <w:tcW w:w="56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versioned set of criterion scores and evidence references.</w:t>
            </w:r>
            <w:r/>
          </w:p>
        </w:tc>
        <w:tc>
          <w:tcPr>
            <w:shd w:val="clear" w:color="auto" w:fill="f3f6f9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COF-SCR-YYYY-NNN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Action</w:t>
            </w:r>
            <w:r/>
          </w:p>
        </w:tc>
        <w:tc>
          <w:tcPr>
            <w:tcBorders/>
            <w:tcW w:w="561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justified next action with owner, due date, status, and completion evidence.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COF-ACT-YYYY-NNN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9. Identifier and Traceability Model</w:t>
      </w:r>
      <w:r/>
    </w:p>
    <w:p>
      <w:pPr>
        <w:pBdr/>
        <w:spacing/>
        <w:ind/>
        <w:rPr/>
      </w:pPr>
      <w:r>
        <w:t xml:space="preserve">Every principal record SHALL have both an internal immutable database identifier and a human-readable COF tracking identifier. The COF identifier SHALL remain stable throughout the record lifecycle.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8"/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Record</w:t>
            </w:r>
            <w:r/>
          </w:p>
        </w:tc>
        <w:tc>
          <w:tcPr>
            <w:shd w:val="clear" w:color="auto" w:fill="1f4e78"/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Format</w:t>
            </w:r>
            <w:r/>
          </w:p>
        </w:tc>
        <w:tc>
          <w:tcPr>
            <w:shd w:val="clear" w:color="auto" w:fill="1f4e78"/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Example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Market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COF-MKT-YYYY-NNN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COF-MKT-2026-001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Organization</w:t>
            </w:r>
            <w:r/>
          </w:p>
        </w:tc>
        <w:tc>
          <w:tcPr>
            <w:shd w:val="clear" w:color="auto" w:fill="f3f6f9"/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COF-ORG-YYYY-NNN</w:t>
            </w:r>
            <w:r/>
          </w:p>
        </w:tc>
        <w:tc>
          <w:tcPr>
            <w:shd w:val="clear" w:color="auto" w:fill="f3f6f9"/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COF-ORG-2026-001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Opportunity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COF-OPP-YYYY-NNN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COF-OPP-2026-001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Evidence</w:t>
            </w:r>
            <w:r/>
          </w:p>
        </w:tc>
        <w:tc>
          <w:tcPr>
            <w:shd w:val="clear" w:color="auto" w:fill="f3f6f9"/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COF-EV-YYYY-NNN</w:t>
            </w:r>
            <w:r/>
          </w:p>
        </w:tc>
        <w:tc>
          <w:tcPr>
            <w:shd w:val="clear" w:color="auto" w:fill="f3f6f9"/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COF-EV-2026-001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Assessment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COF-AST-YYYY-NNN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COF-AST-2026-001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Scorecard</w:t>
            </w:r>
            <w:r/>
          </w:p>
        </w:tc>
        <w:tc>
          <w:tcPr>
            <w:shd w:val="clear" w:color="auto" w:fill="f3f6f9"/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COF-SCR-YYYY-NNN</w:t>
            </w:r>
            <w:r/>
          </w:p>
        </w:tc>
        <w:tc>
          <w:tcPr>
            <w:shd w:val="clear" w:color="auto" w:fill="f3f6f9"/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COF-SCR-2026-001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Action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COF-ACT-YYYY-NNN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COF-ACT-2026-001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59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Formal Market Assessment</w:t>
            </w:r>
            <w:r/>
          </w:p>
        </w:tc>
        <w:tc>
          <w:tcPr>
            <w:shd w:val="clear" w:color="auto" w:fill="f3f6f9"/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COF-101A-MA-YYYY-NNN</w:t>
            </w:r>
            <w:r/>
          </w:p>
        </w:tc>
        <w:tc>
          <w:tcPr>
            <w:shd w:val="clear" w:color="auto" w:fill="f3f6f9"/>
            <w:tcBorders/>
            <w:tcW w:w="345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COF-101A-MA-2026-001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10. Scoring Architecture</w:t>
      </w:r>
      <w:r/>
    </w:p>
    <w:p>
      <w:pPr>
        <w:pBdr/>
        <w:spacing/>
        <w:ind/>
        <w:rPr/>
      </w:pPr>
      <w:r>
        <w:t xml:space="preserve">AnchorInsight SHALL treat scores as versioned scorecards. A current score is a view of the latest valid scorecard, not a mutable field that erases history.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8"/>
            <w:tcBorders/>
            <w:tcW w:w="33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Score Model</w:t>
            </w:r>
            <w:r/>
          </w:p>
        </w:tc>
        <w:tc>
          <w:tcPr>
            <w:shd w:val="clear" w:color="auto" w:fill="1f4e78"/>
            <w:tcBorders/>
            <w:tcW w:w="50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Purpose</w:t>
            </w:r>
            <w:r/>
          </w:p>
        </w:tc>
        <w:tc>
          <w:tcPr>
            <w:shd w:val="clear" w:color="auto" w:fill="1f4e78"/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Maximum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Market Score</w:t>
            </w:r>
            <w:r/>
          </w:p>
        </w:tc>
        <w:tc>
          <w:tcPr>
            <w:tcBorders/>
            <w:tcW w:w="50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Market attractiveness and strategic fit under COF-101A.</w:t>
            </w:r>
            <w:r/>
          </w:p>
        </w:tc>
        <w:tc>
          <w:tcPr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40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33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Organization Score</w:t>
            </w:r>
            <w:r/>
          </w:p>
        </w:tc>
        <w:tc>
          <w:tcPr>
            <w:shd w:val="clear" w:color="auto" w:fill="f3f6f9"/>
            <w:tcBorders/>
            <w:tcW w:w="50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Strategic quality and ideal-customer-profile fit.</w:t>
            </w:r>
            <w:r/>
          </w:p>
        </w:tc>
        <w:tc>
          <w:tcPr>
            <w:shd w:val="clear" w:color="auto" w:fill="f3f6f9"/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40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Opportunity Score</w:t>
            </w:r>
            <w:r/>
          </w:p>
        </w:tc>
        <w:tc>
          <w:tcPr>
            <w:tcBorders/>
            <w:tcW w:w="50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Specific opportunity qualification under COF-102.</w:t>
            </w:r>
            <w:r/>
          </w:p>
        </w:tc>
        <w:tc>
          <w:tcPr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40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33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Organizational Viability Score (OVS)</w:t>
            </w:r>
            <w:r/>
          </w:p>
        </w:tc>
        <w:tc>
          <w:tcPr>
            <w:shd w:val="clear" w:color="auto" w:fill="f3f6f9"/>
            <w:tcBorders/>
            <w:tcW w:w="50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Financial and operational durability of the organization.</w:t>
            </w:r>
            <w:r/>
          </w:p>
        </w:tc>
        <w:tc>
          <w:tcPr>
            <w:shd w:val="clear" w:color="auto" w:fill="f3f6f9"/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25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Evidence Confidence Score</w:t>
            </w:r>
            <w:r/>
          </w:p>
        </w:tc>
        <w:tc>
          <w:tcPr>
            <w:tcBorders/>
            <w:tcW w:w="50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Quality, recency, relevance, and corroboration of evidence.</w:t>
            </w:r>
            <w:r/>
          </w:p>
        </w:tc>
        <w:tc>
          <w:tcPr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25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33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Relationship Strength Score</w:t>
            </w:r>
            <w:r/>
          </w:p>
        </w:tc>
        <w:tc>
          <w:tcPr>
            <w:shd w:val="clear" w:color="auto" w:fill="f3f6f9"/>
            <w:tcBorders/>
            <w:tcW w:w="50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Access, engagement, trust, influence, and reciprocity.</w:t>
            </w:r>
            <w:r/>
          </w:p>
        </w:tc>
        <w:tc>
          <w:tcPr>
            <w:shd w:val="clear" w:color="auto" w:fill="f3f6f9"/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20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Commercial Confidence Index (CCI)</w:t>
            </w:r>
            <w:r/>
          </w:p>
        </w:tc>
        <w:tc>
          <w:tcPr>
            <w:tcBorders/>
            <w:tcW w:w="50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Executive roll-up of approved component scores.</w:t>
            </w:r>
            <w:r/>
          </w:p>
        </w:tc>
        <w:tc>
          <w:tcPr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Configurable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4"/>
        <w:pBdr/>
        <w:spacing/>
        <w:ind/>
        <w:rPr/>
      </w:pPr>
      <w:r>
        <w:t xml:space="preserve">10.1 Organizational Viability Score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8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Criterion</w:t>
            </w:r>
            <w:r/>
          </w:p>
        </w:tc>
        <w:tc>
          <w:tcPr>
            <w:shd w:val="clear" w:color="auto" w:fill="1f4e78"/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Range</w:t>
            </w:r>
            <w:r/>
          </w:p>
        </w:tc>
        <w:tc>
          <w:tcPr>
            <w:shd w:val="clear" w:color="auto" w:fill="1f4e78"/>
            <w:tcBorders/>
            <w:tcW w:w="54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Intent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Financial Stability</w:t>
            </w:r>
            <w:r/>
          </w:p>
        </w:tc>
        <w:tc>
          <w:tcPr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0-5</w:t>
            </w:r>
            <w:r/>
          </w:p>
        </w:tc>
        <w:tc>
          <w:tcPr>
            <w:tcBorders/>
            <w:tcW w:w="54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Ability to sustain commitments and operations.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Market Stability</w:t>
            </w:r>
            <w:r/>
          </w:p>
        </w:tc>
        <w:tc>
          <w:tcPr>
            <w:shd w:val="clear" w:color="auto" w:fill="f3f6f9"/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0-5</w:t>
            </w:r>
            <w:r/>
          </w:p>
        </w:tc>
        <w:tc>
          <w:tcPr>
            <w:shd w:val="clear" w:color="auto" w:fill="f3f6f9"/>
            <w:tcBorders/>
            <w:tcW w:w="54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Durability of demand and sector conditions.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Strategic Direction</w:t>
            </w:r>
            <w:r/>
          </w:p>
        </w:tc>
        <w:tc>
          <w:tcPr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0-5</w:t>
            </w:r>
            <w:r/>
          </w:p>
        </w:tc>
        <w:tc>
          <w:tcPr>
            <w:tcBorders/>
            <w:tcW w:w="54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Investment, modernization, and leadership direction.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Operational Continuity</w:t>
            </w:r>
            <w:r/>
          </w:p>
        </w:tc>
        <w:tc>
          <w:tcPr>
            <w:shd w:val="clear" w:color="auto" w:fill="f3f6f9"/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0-5</w:t>
            </w:r>
            <w:r/>
          </w:p>
        </w:tc>
        <w:tc>
          <w:tcPr>
            <w:shd w:val="clear" w:color="auto" w:fill="f3f6f9"/>
            <w:tcBorders/>
            <w:tcW w:w="54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Likelihood that the mission and services continue.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Organizational Risk</w:t>
            </w:r>
            <w:r/>
          </w:p>
        </w:tc>
        <w:tc>
          <w:tcPr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0-5</w:t>
            </w:r>
            <w:r/>
          </w:p>
        </w:tc>
        <w:tc>
          <w:tcPr>
            <w:tcBorders/>
            <w:tcW w:w="54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Exposure to disruption, litigation, restructuring, or instability.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Every viability scorecard </w:t>
      </w:r>
      <w:r>
        <w:t xml:space="preserve">SHALL include evidence references, reviewer, assessment date, next review date, and any material caveat. A viability score SHALL NOT be represented as a formal credit rating unless produced from a validated financial-risk model and appropriately disclosed.</w:t>
      </w:r>
      <w:r/>
    </w:p>
    <w:p>
      <w:pPr>
        <w:pStyle w:val="713"/>
        <w:pBdr/>
        <w:spacing/>
        <w:ind/>
        <w:rPr/>
      </w:pPr>
      <w:r>
        <w:t xml:space="preserve">11. One-Page Organization Dashboard</w:t>
      </w:r>
      <w:r/>
    </w:p>
    <w:p>
      <w:pPr>
        <w:pBdr/>
        <w:spacing/>
        <w:ind/>
        <w:rPr/>
      </w:pPr>
      <w:r>
        <w:t xml:space="preserve">The organization dashboard is the principal user interface for the first build. It SHALL summarize current state while preserving access to underlying evidence and history.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8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Dashboard Region</w:t>
            </w:r>
            <w:r/>
          </w:p>
        </w:tc>
        <w:tc>
          <w:tcPr>
            <w:shd w:val="clear" w:color="auto" w:fill="1f4e78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Required Content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Identity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 Organization ID, name, sector, role, market, location, relationship stage.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Executive Status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 status, priority, current recommendation, next review date.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Score Summary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Market, organization, opportunity, OVS, evidence confidence, relationship strength, and CCI.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Trend View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Historical scores and material changes over time.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Evidence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Newest evidence, evidence quality, disputed claims, and stale evidence warnings.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Risks &amp; Assumptions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Open critical risks, unresolved assumptions, and overrides.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Opportunities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Active opportunities, stage, estimated value, and next gate.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Actions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Open, overdue, and recently completed actions.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People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Key contacts, decision roles, relationship strength, and last interaction.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Decision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Next justified action and rationale.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12. Core Workflows</w:t>
      </w:r>
      <w:r/>
    </w:p>
    <w:p>
      <w:pPr>
        <w:pStyle w:val="746"/>
        <w:pBdr/>
        <w:spacing w:after="40"/>
        <w:ind/>
        <w:rPr/>
      </w:pPr>
      <w:r>
        <w:t xml:space="preserve">Create or import a market and assign a COF Market ID.</w:t>
      </w:r>
      <w:r/>
    </w:p>
    <w:p>
      <w:pPr>
        <w:pStyle w:val="746"/>
        <w:pBdr/>
        <w:spacing w:after="40"/>
        <w:ind/>
        <w:rPr/>
      </w:pPr>
      <w:r>
        <w:t xml:space="preserve">Create an organization within one or more markets and assign a COF Organization ID.</w:t>
      </w:r>
      <w:r/>
    </w:p>
    <w:p>
      <w:pPr>
        <w:pStyle w:val="746"/>
        <w:pBdr/>
        <w:spacing w:after="40"/>
        <w:ind/>
        <w:rPr/>
      </w:pPr>
      <w:r>
        <w:t xml:space="preserve">Attach source evidence and classify each assertion.</w:t>
      </w:r>
      <w:r/>
    </w:p>
    <w:p>
      <w:pPr>
        <w:pStyle w:val="746"/>
        <w:pBdr/>
        <w:spacing w:after="40"/>
        <w:ind/>
        <w:rPr/>
      </w:pPr>
      <w:r>
        <w:t xml:space="preserve">Run or update organization, viability, and relationship scorecards.</w:t>
      </w:r>
      <w:r/>
    </w:p>
    <w:p>
      <w:pPr>
        <w:pStyle w:val="746"/>
        <w:pBdr/>
        <w:spacing w:after="40"/>
        <w:ind/>
        <w:rPr/>
      </w:pPr>
      <w:r>
        <w:t xml:space="preserve">Create a COF-102 opportunity when a specific opportunity becomes justified.</w:t>
      </w:r>
      <w:r/>
    </w:p>
    <w:p>
      <w:pPr>
        <w:pStyle w:val="746"/>
        <w:pBdr/>
        <w:spacing w:after="40"/>
        <w:ind/>
        <w:rPr/>
      </w:pPr>
      <w:r>
        <w:t xml:space="preserve">Record actions, owners, dates, and completion evidence.</w:t>
      </w:r>
      <w:r/>
    </w:p>
    <w:p>
      <w:pPr>
        <w:pStyle w:val="746"/>
        <w:pBdr/>
        <w:spacing w:after="40"/>
        <w:ind/>
        <w:rPr/>
      </w:pPr>
      <w:r>
        <w:t xml:space="preserve">Recalculate executive views from the latest valid scorecards.</w:t>
      </w:r>
      <w:r/>
    </w:p>
    <w:p>
      <w:pPr>
        <w:pStyle w:val="746"/>
        <w:pBdr/>
        <w:spacing w:after="40"/>
        <w:ind/>
        <w:rPr/>
      </w:pPr>
      <w:r>
        <w:t xml:space="preserve">Publish lifecycle and material-score-change events through AnchorOS.</w:t>
      </w:r>
      <w:r/>
    </w:p>
    <w:p>
      <w:pPr>
        <w:pStyle w:val="746"/>
        <w:pBdr/>
        <w:spacing w:after="40"/>
        <w:ind/>
        <w:rPr/>
      </w:pPr>
      <w:r>
        <w:t xml:space="preserve">Reassess when review dates or material-change triggers occur.</w:t>
      </w:r>
      <w:r/>
    </w:p>
    <w:p>
      <w:pPr>
        <w:pStyle w:val="713"/>
        <w:pBdr/>
        <w:spacing/>
        <w:ind/>
        <w:rPr/>
      </w:pPr>
      <w:r>
        <w:t xml:space="preserve">13. Logical Component Architecture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8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Component</w:t>
            </w:r>
            <w:r/>
          </w:p>
        </w:tc>
        <w:tc>
          <w:tcPr>
            <w:shd w:val="clear" w:color="auto" w:fill="1f4e78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Responsibility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Registry Service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Markets, organizations, contacts, roles, and identifiers.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Evidence Service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Sources, assertions, classifications, confidence, and review dates.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Assessment Service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Assessment records, gates, decisions, assumptions, and risks.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Scoring Service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Scoring models, versioned scorecards, trends, and CCI calculations.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Opportunity Service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COF-102 records, lifecycle, briefs, and advancement criteria.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Action Service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Actions, reminders, overdue state, and completion evidence.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Dashboard Service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Read models optimized for the one-page organization dashboard.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Import Service</w:t>
            </w:r>
            <w:r/>
          </w:p>
        </w:tc>
        <w:tc>
          <w:tcPr>
            <w:shd w:val="clear" w:color="auto" w:fill="f3f6f9"/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Spreadsheet import, validation, deduplication, and error reporting.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AnchorOS Adapter</w:t>
            </w:r>
            <w:r/>
          </w:p>
        </w:tc>
        <w:tc>
          <w:tcPr>
            <w:tcBorders/>
            <w:tcW w:w="691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Audit, events, configuration, application registration, and health.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14. AnchorOS Integration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8"/>
            <w:tcBorders/>
            <w:tcW w:w="302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AnchorOS Capability</w:t>
            </w:r>
            <w:r/>
          </w:p>
        </w:tc>
        <w:tc>
          <w:tcPr>
            <w:shd w:val="clear" w:color="auto" w:fill="1f4e78"/>
            <w:tcBorders/>
            <w:tcW w:w="67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AnchorInsight Use</w:t>
            </w:r>
            <w:r/>
          </w:p>
        </w:tc>
      </w:tr>
      <w:tr>
        <w:trPr>
          <w:cantSplit/>
        </w:trPr>
        <w:tc>
          <w:tcPr>
            <w:tcBorders/>
            <w:tcW w:w="302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Application Manager</w:t>
            </w:r>
            <w:r/>
          </w:p>
        </w:tc>
        <w:tc>
          <w:tcPr>
            <w:tcBorders/>
            <w:tcW w:w="67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Registers AnchorInsight as a managed AnchorOS application.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302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Application Manifest</w:t>
            </w:r>
            <w:r/>
          </w:p>
        </w:tc>
        <w:tc>
          <w:tcPr>
            <w:shd w:val="clear" w:color="auto" w:fill="f3f6f9"/>
            <w:tcBorders/>
            <w:tcW w:w="67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Declares services, dependencies, version, health checks, and configuration.</w:t>
            </w:r>
            <w:r/>
          </w:p>
        </w:tc>
      </w:tr>
      <w:tr>
        <w:trPr>
          <w:cantSplit/>
        </w:trPr>
        <w:tc>
          <w:tcPr>
            <w:tcBorders/>
            <w:tcW w:w="302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Registry</w:t>
            </w:r>
            <w:r/>
          </w:p>
        </w:tc>
        <w:tc>
          <w:tcPr>
            <w:tcBorders/>
            <w:tcW w:w="67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Registers AnchorInsight services and application metadata.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302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Audit Engine</w:t>
            </w:r>
            <w:r/>
          </w:p>
        </w:tc>
        <w:tc>
          <w:tcPr>
            <w:shd w:val="clear" w:color="auto" w:fill="f3f6f9"/>
            <w:tcBorders/>
            <w:tcW w:w="67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Records create, update, score, decision, and lifecycle changes.</w:t>
            </w:r>
            <w:r/>
          </w:p>
        </w:tc>
      </w:tr>
      <w:tr>
        <w:trPr>
          <w:cantSplit/>
        </w:trPr>
        <w:tc>
          <w:tcPr>
            <w:tcBorders/>
            <w:tcW w:w="302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Event Bus</w:t>
            </w:r>
            <w:r/>
          </w:p>
        </w:tc>
        <w:tc>
          <w:tcPr>
            <w:tcBorders/>
            <w:tcW w:w="67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Publishes events such as score.changed, review.due, evidence.added, and opportunity.transitioned.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302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Configuration</w:t>
            </w:r>
            <w:r/>
          </w:p>
        </w:tc>
        <w:tc>
          <w:tcPr>
            <w:shd w:val="clear" w:color="auto" w:fill="f3f6f9"/>
            <w:tcBorders/>
            <w:tcW w:w="67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Stores scoring thresholds, review intervals, feature flags, and environment settings.</w:t>
            </w:r>
            <w:r/>
          </w:p>
        </w:tc>
      </w:tr>
      <w:tr>
        <w:trPr>
          <w:cantSplit/>
        </w:trPr>
        <w:tc>
          <w:tcPr>
            <w:tcBorders/>
            <w:tcW w:w="302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Health Monitor</w:t>
            </w:r>
            <w:r/>
          </w:p>
        </w:tc>
        <w:tc>
          <w:tcPr>
            <w:tcBorders/>
            <w:tcW w:w="67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Reports database connectivity, migration status, queue health, and service readiness.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302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Knowledge Service</w:t>
            </w:r>
            <w:r/>
          </w:p>
        </w:tc>
        <w:tc>
          <w:tcPr>
            <w:shd w:val="clear" w:color="auto" w:fill="f3f6f9"/>
            <w:tcBorders/>
            <w:tcW w:w="67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Supports cross-organization search and future graph relationships.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15. Event Model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8"/>
            <w:tcBorders/>
            <w:tcW w:w="388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Event</w:t>
            </w:r>
            <w:r/>
          </w:p>
        </w:tc>
        <w:tc>
          <w:tcPr>
            <w:shd w:val="clear" w:color="auto" w:fill="1f4e78"/>
            <w:tcBorders/>
            <w:tcW w:w="590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Trigger</w:t>
            </w:r>
            <w:r/>
          </w:p>
        </w:tc>
      </w:tr>
      <w:tr>
        <w:trPr>
          <w:cantSplit/>
        </w:trPr>
        <w:tc>
          <w:tcPr>
            <w:tcBorders/>
            <w:tcW w:w="388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anchorinsight.organization.created</w:t>
            </w:r>
            <w:r/>
          </w:p>
        </w:tc>
        <w:tc>
          <w:tcPr>
            <w:tcBorders/>
            <w:tcW w:w="590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new organization is registered.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388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anchorinsight.evidence.added</w:t>
            </w:r>
            <w:r/>
          </w:p>
        </w:tc>
        <w:tc>
          <w:tcPr>
            <w:shd w:val="clear" w:color="auto" w:fill="f3f6f9"/>
            <w:tcBorders/>
            <w:tcW w:w="590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New evidence is attached to a record.</w:t>
            </w:r>
            <w:r/>
          </w:p>
        </w:tc>
      </w:tr>
      <w:tr>
        <w:trPr>
          <w:cantSplit/>
        </w:trPr>
        <w:tc>
          <w:tcPr>
            <w:tcBorders/>
            <w:tcW w:w="388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anchorinsight.scorecard.completed</w:t>
            </w:r>
            <w:r/>
          </w:p>
        </w:tc>
        <w:tc>
          <w:tcPr>
            <w:tcBorders/>
            <w:tcW w:w="590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scorecard is finalized.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388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anchorinsight.score.changed</w:t>
            </w:r>
            <w:r/>
          </w:p>
        </w:tc>
        <w:tc>
          <w:tcPr>
            <w:shd w:val="clear" w:color="auto" w:fill="f3f6f9"/>
            <w:tcBorders/>
            <w:tcW w:w="590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material score change is detected.</w:t>
            </w:r>
            <w:r/>
          </w:p>
        </w:tc>
      </w:tr>
      <w:tr>
        <w:trPr>
          <w:cantSplit/>
        </w:trPr>
        <w:tc>
          <w:tcPr>
            <w:tcBorders/>
            <w:tcW w:w="388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anchorinsight.viability.changed</w:t>
            </w:r>
            <w:r/>
          </w:p>
        </w:tc>
        <w:tc>
          <w:tcPr>
            <w:tcBorders/>
            <w:tcW w:w="590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OVS changes beyond a configured threshold.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388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anchorinsight.review.due</w:t>
            </w:r>
            <w:r/>
          </w:p>
        </w:tc>
        <w:tc>
          <w:tcPr>
            <w:shd w:val="clear" w:color="auto" w:fill="f3f6f9"/>
            <w:tcBorders/>
            <w:tcW w:w="590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reassessment date is reached.</w:t>
            </w:r>
            <w:r/>
          </w:p>
        </w:tc>
      </w:tr>
      <w:tr>
        <w:trPr>
          <w:cantSplit/>
        </w:trPr>
        <w:tc>
          <w:tcPr>
            <w:tcBorders/>
            <w:tcW w:w="388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anchorinsight.opportunity.transitioned</w:t>
            </w:r>
            <w:r/>
          </w:p>
        </w:tc>
        <w:tc>
          <w:tcPr>
            <w:tcBorders/>
            <w:tcW w:w="590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 opportunity changes lifecycle state.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388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anchorinsight.action.overdue</w:t>
            </w:r>
            <w:r/>
          </w:p>
        </w:tc>
        <w:tc>
          <w:tcPr>
            <w:shd w:val="clear" w:color="auto" w:fill="f3f6f9"/>
            <w:tcBorders/>
            <w:tcW w:w="590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 required action passes its due date.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16. Persistence Architecture</w:t>
      </w:r>
      <w:r/>
    </w:p>
    <w:p>
      <w:pPr>
        <w:pStyle w:val="714"/>
        <w:pBdr/>
        <w:spacing/>
        <w:ind/>
        <w:rPr/>
      </w:pPr>
      <w:r>
        <w:t xml:space="preserve">16.1 MVP</w:t>
      </w:r>
      <w:r/>
    </w:p>
    <w:p>
      <w:pPr>
        <w:pStyle w:val="743"/>
        <w:pBdr/>
        <w:spacing w:after="40"/>
        <w:ind/>
        <w:rPr/>
      </w:pPr>
      <w:r>
        <w:t xml:space="preserve">SQLite database stored in a controlled AnchorOS application-data directory.</w:t>
      </w:r>
      <w:r/>
    </w:p>
    <w:p>
      <w:pPr>
        <w:pStyle w:val="743"/>
        <w:pBdr/>
        <w:spacing w:after="40"/>
        <w:ind/>
        <w:rPr/>
      </w:pPr>
      <w:r>
        <w:t xml:space="preserve">Forward-only schema migrations.</w:t>
      </w:r>
      <w:r/>
    </w:p>
    <w:p>
      <w:pPr>
        <w:pStyle w:val="743"/>
        <w:pBdr/>
        <w:spacing w:after="40"/>
        <w:ind/>
        <w:rPr/>
      </w:pPr>
      <w:r>
        <w:t xml:space="preserve">Daily versioned backups and tested restore procedure.</w:t>
      </w:r>
      <w:r/>
    </w:p>
    <w:p>
      <w:pPr>
        <w:pStyle w:val="743"/>
        <w:pBdr/>
        <w:spacing w:after="40"/>
        <w:ind/>
        <w:rPr/>
      </w:pPr>
      <w:r>
        <w:t xml:space="preserve">Foreign-key enforcement and transactional writes.</w:t>
      </w:r>
      <w:r/>
    </w:p>
    <w:p>
      <w:pPr>
        <w:pStyle w:val="743"/>
        <w:pBdr/>
        <w:spacing w:after="40"/>
        <w:ind/>
        <w:rPr/>
      </w:pPr>
      <w:r>
        <w:t xml:space="preserve">Import staging tables to prevent invalid spreadsheet data from entering production tables.</w:t>
      </w:r>
      <w:r/>
    </w:p>
    <w:p>
      <w:pPr>
        <w:pStyle w:val="714"/>
        <w:pBdr/>
        <w:spacing/>
        <w:ind/>
        <w:rPr/>
      </w:pPr>
      <w:r>
        <w:t xml:space="preserve">16.2 Scale Path</w:t>
      </w:r>
      <w:r/>
    </w:p>
    <w:p>
      <w:pPr>
        <w:pStyle w:val="743"/>
        <w:pBdr/>
        <w:spacing w:after="40"/>
        <w:ind/>
        <w:rPr/>
      </w:pPr>
      <w:r>
        <w:t xml:space="preserve">PostgreSQL for multi-user concurrency and remote deployment.</w:t>
      </w:r>
      <w:r/>
    </w:p>
    <w:p>
      <w:pPr>
        <w:pStyle w:val="743"/>
        <w:pBdr/>
        <w:spacing w:after="40"/>
        <w:ind/>
        <w:rPr/>
      </w:pPr>
      <w:r>
        <w:t xml:space="preserve">Application-level repository interfaces to isolate SQL implementation details.</w:t>
      </w:r>
      <w:r/>
    </w:p>
    <w:p>
      <w:pPr>
        <w:pStyle w:val="743"/>
        <w:pBdr/>
        <w:spacing w:after="40"/>
        <w:ind/>
        <w:rPr/>
      </w:pPr>
      <w:r>
        <w:t xml:space="preserve">Same business identifiers, scorecard model, and audit semantics after migration.</w:t>
      </w:r>
      <w:r/>
    </w:p>
    <w:p>
      <w:pPr>
        <w:pStyle w:val="743"/>
        <w:pBdr/>
        <w:spacing w:after="40"/>
        <w:ind/>
        <w:rPr/>
      </w:pPr>
      <w:r>
        <w:t xml:space="preserve">Optional search index and graph projections only after validated need.</w:t>
      </w:r>
      <w:r/>
    </w:p>
    <w:p>
      <w:pPr>
        <w:pStyle w:val="713"/>
        <w:pBdr/>
        <w:spacing/>
        <w:ind/>
        <w:rPr/>
      </w:pPr>
      <w:r>
        <w:t xml:space="preserve">17. Security, Privacy, and Audit</w:t>
      </w:r>
      <w:r/>
    </w:p>
    <w:p>
      <w:pPr>
        <w:pStyle w:val="743"/>
        <w:pBdr/>
        <w:spacing w:after="40"/>
        <w:ind/>
        <w:rPr/>
      </w:pPr>
      <w:r>
        <w:t xml:space="preserve">Role-based access SHALL separate administrative, assessment, relationship, and read-only capabilities.</w:t>
      </w:r>
      <w:r/>
    </w:p>
    <w:p>
      <w:pPr>
        <w:pStyle w:val="743"/>
        <w:pBdr/>
        <w:spacing w:after="40"/>
        <w:ind/>
        <w:rPr/>
      </w:pPr>
      <w:r>
        <w:t xml:space="preserve">Sensitive contact notes SHALL support visibility restrictions.</w:t>
      </w:r>
      <w:r/>
    </w:p>
    <w:p>
      <w:pPr>
        <w:pStyle w:val="743"/>
        <w:pBdr/>
        <w:spacing w:after="40"/>
        <w:ind/>
        <w:rPr/>
      </w:pPr>
      <w:r>
        <w:t xml:space="preserve">Every material decision and score change SHALL be auditable.</w:t>
      </w:r>
      <w:r/>
    </w:p>
    <w:p>
      <w:pPr>
        <w:pStyle w:val="743"/>
        <w:pBdr/>
        <w:spacing w:after="40"/>
        <w:ind/>
        <w:rPr/>
      </w:pPr>
      <w:r>
        <w:t xml:space="preserve">Deleted business records SHOULD be soft-deleted or archived unless legal or privacy requirements mandate removal.</w:t>
      </w:r>
      <w:r/>
    </w:p>
    <w:p>
      <w:pPr>
        <w:pStyle w:val="743"/>
        <w:pBdr/>
        <w:spacing w:after="40"/>
        <w:ind/>
        <w:rPr/>
      </w:pPr>
      <w:r>
        <w:t xml:space="preserve">External-source evidence SHALL preserve source URL, collection date, and reviewer.</w:t>
      </w:r>
      <w:r/>
    </w:p>
    <w:p>
      <w:pPr>
        <w:pStyle w:val="743"/>
        <w:pBdr/>
        <w:spacing w:after="40"/>
        <w:ind/>
        <w:rPr/>
      </w:pPr>
      <w:r>
        <w:t xml:space="preserve">Backups SHALL be encrypted when stored outside the primary workstation.</w:t>
      </w:r>
      <w:r/>
    </w:p>
    <w:p>
      <w:pPr>
        <w:pStyle w:val="743"/>
        <w:pBdr/>
        <w:spacing w:after="40"/>
        <w:ind/>
        <w:rPr/>
      </w:pPr>
      <w:r>
        <w:t xml:space="preserve">AnchorInsight SHALL avoid representing inferred financial health as verified solvency without supporting evidence.</w:t>
      </w:r>
      <w:r/>
    </w:p>
    <w:p>
      <w:pPr>
        <w:pStyle w:val="713"/>
        <w:pBdr/>
        <w:spacing/>
        <w:ind/>
        <w:rPr/>
      </w:pPr>
      <w:r>
        <w:t xml:space="preserve">18. Nonfunctional Requirements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8"/>
            <w:tcBorders/>
            <w:tcW w:w="24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Requirement</w:t>
            </w:r>
            <w:r/>
          </w:p>
        </w:tc>
        <w:tc>
          <w:tcPr>
            <w:shd w:val="clear" w:color="auto" w:fill="1f4e78"/>
            <w:tcBorders/>
            <w:tcW w:w="73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Target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Search</w:t>
            </w:r>
            <w:r/>
          </w:p>
        </w:tc>
        <w:tc>
          <w:tcPr>
            <w:tcBorders/>
            <w:tcW w:w="73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Locate an organization by name or COF ID in under two seconds for the MVP dataset.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4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Dashboard</w:t>
            </w:r>
            <w:r/>
          </w:p>
        </w:tc>
        <w:tc>
          <w:tcPr>
            <w:shd w:val="clear" w:color="auto" w:fill="f3f6f9"/>
            <w:tcBorders/>
            <w:tcW w:w="73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Open the one-page organization view in under three seconds locally.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Traceability</w:t>
            </w:r>
            <w:r/>
          </w:p>
        </w:tc>
        <w:tc>
          <w:tcPr>
            <w:tcBorders/>
            <w:tcW w:w="73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Every displayed score SHALL resolve to a scorecard and supporting evidence.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4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Recoverability</w:t>
            </w:r>
            <w:r/>
          </w:p>
        </w:tc>
        <w:tc>
          <w:tcPr>
            <w:shd w:val="clear" w:color="auto" w:fill="f3f6f9"/>
            <w:tcBorders/>
            <w:tcW w:w="73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Database restore SHALL be documented and testable.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Portability</w:t>
            </w:r>
            <w:r/>
          </w:p>
        </w:tc>
        <w:tc>
          <w:tcPr>
            <w:tcBorders/>
            <w:tcW w:w="73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Application SHALL run on the current Linux Mint workstation.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4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Scalability</w:t>
            </w:r>
            <w:r/>
          </w:p>
        </w:tc>
        <w:tc>
          <w:tcPr>
            <w:shd w:val="clear" w:color="auto" w:fill="f3f6f9"/>
            <w:tcBorders/>
            <w:tcW w:w="73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Logical model SHALL support at least 100,000 organizations without domain redesign.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Usability</w:t>
            </w:r>
            <w:r/>
          </w:p>
        </w:tc>
        <w:tc>
          <w:tcPr>
            <w:tcBorders/>
            <w:tcW w:w="734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Routine updates SHALL not require direct SQL editing.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19. Version 1 MVP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8"/>
            <w:tcBorders/>
            <w:tcW w:w="4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Included</w:t>
            </w:r>
            <w:r/>
          </w:p>
        </w:tc>
        <w:tc>
          <w:tcPr>
            <w:shd w:val="clear" w:color="auto" w:fill="1f4e78"/>
            <w:tcBorders/>
            <w:tcW w:w="51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Deferred</w:t>
            </w:r>
            <w:r/>
          </w:p>
        </w:tc>
      </w:tr>
      <w:tr>
        <w:trPr>
          <w:cantSplit/>
        </w:trPr>
        <w:tc>
          <w:tcPr>
            <w:tcBorders/>
            <w:tcW w:w="4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Markets and organizations</w:t>
            </w:r>
            <w:r/>
          </w:p>
        </w:tc>
        <w:tc>
          <w:tcPr>
            <w:tcBorders/>
            <w:tcW w:w="51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Automated external web monitoring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4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Contacts and relationships</w:t>
            </w:r>
            <w:r/>
          </w:p>
        </w:tc>
        <w:tc>
          <w:tcPr>
            <w:shd w:val="clear" w:color="auto" w:fill="f3f6f9"/>
            <w:tcBorders/>
            <w:tcW w:w="51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AI-generated autonomous decisions</w:t>
            </w:r>
            <w:r/>
          </w:p>
        </w:tc>
      </w:tr>
      <w:tr>
        <w:trPr>
          <w:cantSplit/>
        </w:trPr>
        <w:tc>
          <w:tcPr>
            <w:tcBorders/>
            <w:tcW w:w="4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Evidence and assessments</w:t>
            </w:r>
            <w:r/>
          </w:p>
        </w:tc>
        <w:tc>
          <w:tcPr>
            <w:tcBorders/>
            <w:tcW w:w="51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Geospatial map interface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4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Versioned scorecards and OVS</w:t>
            </w:r>
            <w:r/>
          </w:p>
        </w:tc>
        <w:tc>
          <w:tcPr>
            <w:shd w:val="clear" w:color="auto" w:fill="f3f6f9"/>
            <w:tcBorders/>
            <w:tcW w:w="51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Complex knowledge-graph visualization</w:t>
            </w:r>
            <w:r/>
          </w:p>
        </w:tc>
      </w:tr>
      <w:tr>
        <w:trPr>
          <w:cantSplit/>
        </w:trPr>
        <w:tc>
          <w:tcPr>
            <w:tcBorders/>
            <w:tcW w:w="4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Actions and review dates</w:t>
            </w:r>
            <w:r/>
          </w:p>
        </w:tc>
        <w:tc>
          <w:tcPr>
            <w:tcBorders/>
            <w:tcW w:w="51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Enterprise SSO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4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Spreadsheet import</w:t>
            </w:r>
            <w:r/>
          </w:p>
        </w:tc>
        <w:tc>
          <w:tcPr>
            <w:shd w:val="clear" w:color="auto" w:fill="f3f6f9"/>
            <w:tcBorders/>
            <w:tcW w:w="51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Multi-tenant SaaS billing</w:t>
            </w:r>
            <w:r/>
          </w:p>
        </w:tc>
      </w:tr>
      <w:tr>
        <w:trPr>
          <w:cantSplit/>
        </w:trPr>
        <w:tc>
          <w:tcPr>
            <w:tcBorders/>
            <w:tcW w:w="4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One-page organization dashboard</w:t>
            </w:r>
            <w:r/>
          </w:p>
        </w:tc>
        <w:tc>
          <w:tcPr>
            <w:tcBorders/>
            <w:tcW w:w="51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Mobile application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4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AnchorOS audit, event, config, and health integration</w:t>
            </w:r>
            <w:r/>
          </w:p>
        </w:tc>
        <w:tc>
          <w:tcPr>
            <w:shd w:val="clear" w:color="auto" w:fill="f3f6f9"/>
            <w:tcBorders/>
            <w:tcW w:w="51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Advanced predictive analytics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20. Build Sequence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8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Milestone</w:t>
            </w:r>
            <w:r/>
          </w:p>
        </w:tc>
        <w:tc>
          <w:tcPr>
            <w:shd w:val="clear" w:color="auto" w:fill="1f4e78"/>
            <w:tcBorders/>
            <w:tcW w:w="763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Deliverable</w:t>
            </w:r>
            <w:r/>
          </w:p>
        </w:tc>
      </w:tr>
      <w:tr>
        <w:trPr>
          <w:cantSplit/>
        </w:trPr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AIN-100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AnchorInsight Architecture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CIR-001</w:t>
            </w:r>
            <w:r/>
          </w:p>
        </w:tc>
        <w:tc>
          <w:tcPr>
            <w:shd w:val="clear" w:color="auto" w:fill="f3f6f9"/>
            <w:tcBorders/>
            <w:tcW w:w="763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Commercial Intelligence Registry Data Model</w:t>
            </w:r>
            <w:r/>
          </w:p>
        </w:tc>
      </w:tr>
      <w:tr>
        <w:trPr>
          <w:cantSplit/>
        </w:trPr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AIN-101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Product Requirements Specification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AIN-102</w:t>
            </w:r>
            <w:r/>
          </w:p>
        </w:tc>
        <w:tc>
          <w:tcPr>
            <w:shd w:val="clear" w:color="auto" w:fill="f3f6f9"/>
            <w:tcBorders/>
            <w:tcW w:w="763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Scoring and Decision Model</w:t>
            </w:r>
            <w:r/>
          </w:p>
        </w:tc>
      </w:tr>
      <w:tr>
        <w:trPr>
          <w:cantSplit/>
        </w:trPr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AIN-103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Database Schema and Migration Package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AIN-104</w:t>
            </w:r>
            <w:r/>
          </w:p>
        </w:tc>
        <w:tc>
          <w:tcPr>
            <w:shd w:val="clear" w:color="auto" w:fill="f3f6f9"/>
            <w:tcBorders/>
            <w:tcW w:w="763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Spreadsheet Importer</w:t>
            </w:r>
            <w:r/>
          </w:p>
        </w:tc>
      </w:tr>
      <w:tr>
        <w:trPr>
          <w:cantSplit/>
        </w:trPr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AIN-105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Organization Dashboard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AIN-106</w:t>
            </w:r>
            <w:r/>
          </w:p>
        </w:tc>
        <w:tc>
          <w:tcPr>
            <w:shd w:val="clear" w:color="auto" w:fill="f3f6f9"/>
            <w:tcBorders/>
            <w:tcW w:w="763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AnchorOS Application Integration</w:t>
            </w:r>
            <w:r/>
          </w:p>
        </w:tc>
      </w:tr>
      <w:tr>
        <w:trPr>
          <w:cantSplit/>
        </w:trPr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AIN-107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Noto Sans" w:hAnsi="Noto Sans"/>
                <w:b w:val="0"/>
                <w:sz w:val="17"/>
              </w:rPr>
              <w:t xml:space="preserve">Operational Verification and Pilot Use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21. Acceptance Criteria for the First Build</w:t>
      </w:r>
      <w:r/>
    </w:p>
    <w:p>
      <w:pPr>
        <w:pStyle w:val="746"/>
        <w:pBdr/>
        <w:spacing w:after="40"/>
        <w:ind/>
        <w:rPr/>
      </w:pPr>
      <w:r>
        <w:t xml:space="preserve">Import the current Market Intelligence Tracker without data loss.</w:t>
      </w:r>
      <w:r/>
    </w:p>
    <w:p>
      <w:pPr>
        <w:pStyle w:val="746"/>
        <w:pBdr/>
        <w:spacing w:after="40"/>
        <w:ind/>
        <w:rPr/>
      </w:pPr>
      <w:r>
        <w:t xml:space="preserve">Assign stable COF IDs to imported markets, organizations, evidence, scorecards, and actions.</w:t>
      </w:r>
      <w:r/>
    </w:p>
    <w:p>
      <w:pPr>
        <w:pStyle w:val="746"/>
        <w:pBdr/>
        <w:spacing w:after="40"/>
        <w:ind/>
        <w:rPr/>
      </w:pPr>
      <w:r>
        <w:t xml:space="preserve">Open CPS Energy and display all current scores, evidence, actions, risks, contacts, and next review information on one page.</w:t>
      </w:r>
      <w:r/>
    </w:p>
    <w:p>
      <w:pPr>
        <w:pStyle w:val="746"/>
        <w:pBdr/>
        <w:spacing w:after="40"/>
        <w:ind/>
        <w:rPr/>
      </w:pPr>
      <w:r>
        <w:t xml:space="preserve">Add a new versioned OVS scorecard without overwriting the prior score.</w:t>
      </w:r>
      <w:r/>
    </w:p>
    <w:p>
      <w:pPr>
        <w:pStyle w:val="746"/>
        <w:pBdr/>
        <w:spacing w:after="40"/>
        <w:ind/>
        <w:rPr/>
      </w:pPr>
      <w:r>
        <w:t xml:space="preserve">Show score history and current recommendation.</w:t>
      </w:r>
      <w:r/>
    </w:p>
    <w:p>
      <w:pPr>
        <w:pStyle w:val="746"/>
        <w:pBdr/>
        <w:spacing w:after="40"/>
        <w:ind/>
        <w:rPr/>
      </w:pPr>
      <w:r>
        <w:t xml:space="preserve">Create and complete an action with audit evidence.</w:t>
      </w:r>
      <w:r/>
    </w:p>
    <w:p>
      <w:pPr>
        <w:pStyle w:val="746"/>
        <w:pBdr/>
        <w:spacing w:after="40"/>
        <w:ind/>
        <w:rPr/>
      </w:pPr>
      <w:r>
        <w:t xml:space="preserve">Publish AnchorOS events for material record changes.</w:t>
      </w:r>
      <w:r/>
    </w:p>
    <w:p>
      <w:pPr>
        <w:pStyle w:val="746"/>
        <w:pBdr/>
        <w:spacing w:after="40"/>
        <w:ind/>
        <w:rPr/>
      </w:pPr>
      <w:r>
        <w:t xml:space="preserve">Back up and restore the complete database successfully.</w:t>
      </w:r>
      <w:r/>
    </w:p>
    <w:p>
      <w:pPr>
        <w:pStyle w:val="746"/>
        <w:pBdr/>
        <w:spacing w:after="40"/>
        <w:ind/>
        <w:rPr/>
      </w:pPr>
      <w:r>
        <w:t xml:space="preserve">Pass automated tests for identifiers, scoring, migrations, imports, and dashboard read models.</w:t>
      </w:r>
      <w:r/>
    </w:p>
    <w:p>
      <w:pPr>
        <w:pStyle w:val="713"/>
        <w:pBdr/>
        <w:spacing/>
        <w:ind/>
        <w:rPr/>
      </w:pPr>
      <w:r>
        <w:t xml:space="preserve">22. Explicit Non-Goals</w:t>
      </w:r>
      <w:r/>
    </w:p>
    <w:p>
      <w:pPr>
        <w:pStyle w:val="743"/>
        <w:pBdr/>
        <w:spacing w:after="40"/>
        <w:ind/>
        <w:rPr/>
      </w:pPr>
      <w:r>
        <w:t xml:space="preserve">Replacing full enterprise CRM platforms in Version 1.</w:t>
      </w:r>
      <w:r/>
    </w:p>
    <w:p>
      <w:pPr>
        <w:pStyle w:val="743"/>
        <w:pBdr/>
        <w:spacing w:after="40"/>
        <w:ind/>
        <w:rPr/>
      </w:pPr>
      <w:r>
        <w:t xml:space="preserve">Claiming formal credit ratings or insolvency predictions.</w:t>
      </w:r>
      <w:r/>
    </w:p>
    <w:p>
      <w:pPr>
        <w:pStyle w:val="743"/>
        <w:pBdr/>
        <w:spacing w:after="40"/>
        <w:ind/>
        <w:rPr/>
      </w:pPr>
      <w:r>
        <w:t xml:space="preserve">Automating pursuit decisions without human review.</w:t>
      </w:r>
      <w:r/>
    </w:p>
    <w:p>
      <w:pPr>
        <w:pStyle w:val="743"/>
        <w:pBdr/>
        <w:spacing w:after="40"/>
        <w:ind/>
        <w:rPr/>
      </w:pPr>
      <w:r>
        <w:t xml:space="preserve">Building every COF standard before using the application.</w:t>
      </w:r>
      <w:r/>
    </w:p>
    <w:p>
      <w:pPr>
        <w:pStyle w:val="743"/>
        <w:pBdr/>
        <w:spacing w:after="40"/>
        <w:ind/>
        <w:rPr/>
      </w:pPr>
      <w:r>
        <w:t xml:space="preserve">Supporting every industry-specific workflow in the MVP.</w:t>
      </w:r>
      <w:r/>
    </w:p>
    <w:p>
      <w:pPr>
        <w:pStyle w:val="743"/>
        <w:pBdr/>
        <w:spacing w:after="40"/>
        <w:ind/>
        <w:rPr/>
      </w:pPr>
      <w:r>
        <w:t xml:space="preserve">Creating a public SaaS product before the internal operating model is proven.</w:t>
      </w:r>
      <w:r/>
    </w:p>
    <w:p>
      <w:pPr>
        <w:pStyle w:val="713"/>
        <w:pBdr/>
        <w:spacing/>
        <w:ind/>
        <w:rPr/>
      </w:pPr>
      <w:r>
        <w:t xml:space="preserve">23. Architecture Conformance</w:t>
      </w:r>
      <w:r/>
    </w:p>
    <w:p>
      <w:pPr>
        <w:pBdr/>
        <w:spacing/>
        <w:ind/>
        <w:rPr/>
      </w:pPr>
      <w:r>
        <w:t xml:space="preserve">An AnchorInsight implementation conforms to AIN-100 when it:</w:t>
      </w:r>
      <w:r/>
    </w:p>
    <w:p>
      <w:pPr>
        <w:pStyle w:val="743"/>
        <w:pBdr/>
        <w:spacing w:after="40"/>
        <w:ind/>
        <w:rPr/>
      </w:pPr>
      <w:r>
        <w:t xml:space="preserve">Uses COF-governed market and opportunity states.</w:t>
      </w:r>
      <w:r/>
    </w:p>
    <w:p>
      <w:pPr>
        <w:pStyle w:val="743"/>
        <w:pBdr/>
        <w:spacing w:after="40"/>
        <w:ind/>
        <w:rPr/>
      </w:pPr>
      <w:r>
        <w:t xml:space="preserve">Assigns stable human-readable COF identifiers.</w:t>
      </w:r>
      <w:r/>
    </w:p>
    <w:p>
      <w:pPr>
        <w:pStyle w:val="743"/>
        <w:pBdr/>
        <w:spacing w:after="40"/>
        <w:ind/>
        <w:rPr/>
      </w:pPr>
      <w:r>
        <w:t xml:space="preserve">Preserves versioned scorecards and evidence traceability.</w:t>
      </w:r>
      <w:r/>
    </w:p>
    <w:p>
      <w:pPr>
        <w:pStyle w:val="743"/>
        <w:pBdr/>
        <w:spacing w:after="40"/>
        <w:ind/>
        <w:rPr/>
      </w:pPr>
      <w:r>
        <w:t xml:space="preserve">Provides the required organization dashboard information.</w:t>
      </w:r>
      <w:r/>
    </w:p>
    <w:p>
      <w:pPr>
        <w:pStyle w:val="743"/>
        <w:pBdr/>
        <w:spacing w:after="40"/>
        <w:ind/>
        <w:rPr/>
      </w:pPr>
      <w:r>
        <w:t xml:space="preserve">Integrates with AnchorOS audit, event, configuration, registry, and health capabilities.</w:t>
      </w:r>
      <w:r/>
    </w:p>
    <w:p>
      <w:pPr>
        <w:pStyle w:val="743"/>
        <w:pBdr/>
        <w:spacing w:after="40"/>
        <w:ind/>
        <w:rPr/>
      </w:pPr>
      <w:r>
        <w:t xml:space="preserve">Supports reliable backup, restore, and schema migration.</w:t>
      </w:r>
      <w:r/>
    </w:p>
    <w:p>
      <w:pPr>
        <w:pStyle w:val="743"/>
        <w:pBdr/>
        <w:spacing w:after="40"/>
        <w:ind/>
        <w:rPr/>
      </w:pPr>
      <w:r>
        <w:t xml:space="preserve">Prevents a roll-up score from concealing critical unresolved risk or failed gates.</w:t>
      </w:r>
      <w:r/>
    </w:p>
    <w:p>
      <w:pPr>
        <w:pStyle w:val="713"/>
        <w:pBdr/>
        <w:spacing/>
        <w:ind/>
        <w:rPr/>
      </w:pPr>
      <w:r>
        <w:t xml:space="preserve">24. Architecture Statement</w:t>
      </w:r>
      <w:r/>
    </w:p>
    <w:p>
      <w:pPr>
        <w:pStyle w:val="765"/>
        <w:pBdr/>
        <w:spacing/>
        <w:ind/>
        <w:rPr/>
      </w:pPr>
      <w:r>
        <w:t xml:space="preserve">AnchorInsight™ shall convert commercial discovery into durable institutional intelligence, so every market, organization, opportunity, decision, and lesson remains available to strengthen the next justified action.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3"/>
        <w:pBdr/>
        <w:spacing/>
        <w:ind/>
        <w:rPr/>
      </w:pPr>
      <w:r>
        <w:t xml:space="preserve">Appendix A — Organization Dashboard Concept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66"/>
      </w:tblGrid>
      <w:tr>
        <w:trPr>
          <w:cantSplit/>
        </w:trPr>
        <w:tc>
          <w:tcPr>
            <w:shd w:val="clear" w:color="auto" w:fill="eef3f8"/>
            <w:tcBorders/>
            <w:tcW w:w="10166" w:type="dxa"/>
          </w:tcPr>
          <w:p>
            <w:pPr>
              <w:pBdr/>
              <w:spacing/>
              <w:ind w:left="115"/>
              <w:rPr/>
            </w:pPr>
            <w:r>
              <w:rPr>
                <w:rFonts w:ascii="DejaVu Sans Mono" w:hAnsi="DejaVu Sans Mono"/>
                <w:sz w:val="17"/>
              </w:rPr>
              <w:t xml:space="preserve">COF-ORG-2026-001 | CPS Energy | Infrastructure Owner</w:t>
              <w:br/>
              <w:t xml:space="preserve">────────────────────────────────────────────────────────</w:t>
              <w:br/>
              <w:t xml:space="preserve">COF Status: VALIDATE     Priority: HIGH     Next Review: 2026-11-15</w:t>
              <w:br/>
              <w:br/>
              <w:t xml:space="preserve">Market Score              </w:t>
            </w:r>
            <w:r>
              <w:rPr>
                <w:rFonts w:ascii="DejaVu Sans Mono" w:hAnsi="DejaVu Sans Mono"/>
                <w:sz w:val="17"/>
              </w:rPr>
              <w:t xml:space="preserve">   29 / 40</w:t>
              <w:br/>
              <w:t xml:space="preserve">Organization Score           -- / 40</w:t>
              <w:br/>
              <w:t xml:space="preserve">Opportunity Score            -- / 40</w:t>
              <w:br/>
              <w:t xml:space="preserve">Organizational Viability     -- / 25</w:t>
              <w:br/>
              <w:t xml:space="preserve">Evidence Confidence          -- / 25</w:t>
              <w:br/>
              <w:t xml:space="preserve">Relationship Strength        -- / 20</w:t>
              <w:br/>
              <w:t xml:space="preserve">Commercial Confidence Index  --</w:t>
              <w:br/>
              <w:br/>
              <w:t xml:space="preserve">Current Recommendation</w:t>
              <w:br/>
              <w:t xml:space="preserve">Cont</w:t>
            </w:r>
            <w:r>
              <w:rPr>
                <w:rFonts w:ascii="DejaVu Sans Mono" w:hAnsi="DejaVu Sans Mono"/>
                <w:sz w:val="17"/>
              </w:rPr>
              <w:t xml:space="preserve">inue validation. Identify engineering leadership and verify a paid</w:t>
              <w:br/>
              <w:t xml:space="preserve">assessment or pilot path before broad product build-out.</w:t>
              <w:br/>
              <w:br/>
              <w:t xml:space="preserve">Open Actions | Evidence | Risks | Assumptions | Contacts | Opportunities</w:t>
              <w:br/>
              <w:t xml:space="preserve">Trend: Score and status history shown across review dates.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Appendix B — Initial Scorecard Rule</w:t>
      </w:r>
      <w:r/>
    </w:p>
    <w:p>
      <w:pPr>
        <w:pBdr/>
        <w:spacing/>
        <w:ind/>
        <w:rPr/>
      </w:pPr>
      <w:r>
        <w:t xml:space="preserve">All scorecards SHALL contain, at minimum:</w:t>
      </w:r>
      <w:r/>
    </w:p>
    <w:p>
      <w:pPr>
        <w:pStyle w:val="743"/>
        <w:pBdr/>
        <w:spacing w:after="40"/>
        <w:ind/>
        <w:rPr/>
      </w:pPr>
      <w:r>
        <w:t xml:space="preserve">Scorecard COF ID and internal ID.</w:t>
      </w:r>
      <w:r/>
    </w:p>
    <w:p>
      <w:pPr>
        <w:pStyle w:val="743"/>
        <w:pBdr/>
        <w:spacing w:after="40"/>
        <w:ind/>
        <w:rPr/>
      </w:pPr>
      <w:r>
        <w:t xml:space="preserve">Subject type and subject COF ID.</w:t>
      </w:r>
      <w:r/>
    </w:p>
    <w:p>
      <w:pPr>
        <w:pStyle w:val="743"/>
        <w:pBdr/>
        <w:spacing w:after="40"/>
        <w:ind/>
        <w:rPr/>
      </w:pPr>
      <w:r>
        <w:t xml:space="preserve">Scoring model name and version.</w:t>
      </w:r>
      <w:r/>
    </w:p>
    <w:p>
      <w:pPr>
        <w:pStyle w:val="743"/>
        <w:pBdr/>
        <w:spacing w:after="40"/>
        <w:ind/>
        <w:rPr/>
      </w:pPr>
      <w:r>
        <w:t xml:space="preserve">Criterion-level scores and rationales.</w:t>
      </w:r>
      <w:r/>
    </w:p>
    <w:p>
      <w:pPr>
        <w:pStyle w:val="743"/>
        <w:pBdr/>
        <w:spacing w:after="40"/>
        <w:ind/>
        <w:rPr/>
      </w:pPr>
      <w:r>
        <w:t xml:space="preserve">Evidence references and evidence classifications.</w:t>
      </w:r>
      <w:r/>
    </w:p>
    <w:p>
      <w:pPr>
        <w:pStyle w:val="743"/>
        <w:pBdr/>
        <w:spacing w:after="40"/>
        <w:ind/>
        <w:rPr/>
      </w:pPr>
      <w:r>
        <w:t xml:space="preserve">Total score and any gate result.</w:t>
      </w:r>
      <w:r/>
    </w:p>
    <w:p>
      <w:pPr>
        <w:pStyle w:val="743"/>
        <w:pBdr/>
        <w:spacing w:after="40"/>
        <w:ind/>
        <w:rPr/>
      </w:pPr>
      <w:r>
        <w:t xml:space="preserve">Reviewer and assessment date.</w:t>
      </w:r>
      <w:r/>
    </w:p>
    <w:p>
      <w:pPr>
        <w:pStyle w:val="743"/>
        <w:pBdr/>
        <w:spacing w:after="40"/>
        <w:ind/>
        <w:rPr/>
      </w:pPr>
      <w:r>
        <w:t xml:space="preserve">Next review date.</w:t>
      </w:r>
      <w:r/>
    </w:p>
    <w:p>
      <w:pPr>
        <w:pStyle w:val="743"/>
        <w:pBdr/>
        <w:spacing w:after="40"/>
        <w:ind/>
        <w:rPr/>
      </w:pPr>
      <w:r>
        <w:t xml:space="preserve">Decision outcome and recommendation.</w:t>
      </w:r>
      <w:r/>
    </w:p>
    <w:p>
      <w:pPr>
        <w:pStyle w:val="743"/>
        <w:pBdr/>
        <w:spacing w:after="40"/>
        <w:ind/>
        <w:rPr/>
      </w:pPr>
      <w:r>
        <w:t xml:space="preserve">Superseded scorecard reference, when applicable.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936" w:right="1037" w:bottom="936" w:left="103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 Mono">
    <w:panose1 w:val="020B0609030804020204"/>
  </w:font>
  <w:font w:name="Symbol">
    <w:panose1 w:val="05010000000000000000"/>
  </w:font>
  <w:font w:name="Courier">
    <w:panose1 w:val="02070309020205020404"/>
  </w:font>
  <w:font w:name="Noto Sans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rFonts w:ascii="Noto Sans" w:hAnsi="Noto Sans"/>
        <w:color w:val="646464"/>
        <w:sz w:val="16"/>
      </w:rPr>
      <w:t xml:space="preserve">AIN-100 | Version 1.0 Draft | Commercial Intelligence powered by AnchorOS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jc w:val="right"/>
      <w:rPr/>
    </w:pPr>
    <w:r>
      <w:rPr>
        <w:rFonts w:ascii="Noto Sans" w:hAnsi="Noto Sans"/>
        <w:color w:val="646464"/>
        <w:sz w:val="16"/>
      </w:rPr>
      <w:t xml:space="preserve">Sirius Logic Systems | AnchorInsight™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100"/>
      <w:ind/>
    </w:pPr>
    <w:rPr>
      <w:rFonts w:ascii="Noto Sans" w:hAnsi="Noto Sans"/>
      <w:sz w:val="20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Noto Sans" w:hAnsi="Noto Sans"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Noto Sans" w:hAnsi="Noto Sans" w:asciiTheme="majorHAnsi" w:hAnsiTheme="majorHAnsi" w:eastAsiaTheme="majorEastAsia" w:cstheme="majorBidi"/>
      <w:b/>
      <w:bCs/>
      <w:color w:val="2f75b5"/>
      <w:sz w:val="24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Noto Sans" w:hAnsi="Noto Sans" w:asciiTheme="majorHAnsi" w:hAnsiTheme="majorHAnsi" w:eastAsiaTheme="majorEastAsia" w:cstheme="majorBidi"/>
      <w:b/>
      <w:bCs/>
      <w:color w:val="1f4e78"/>
      <w:sz w:val="20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Noto Sans" w:hAnsi="Noto Sans" w:asciiTheme="majorHAnsi" w:hAnsiTheme="majorHAnsi" w:eastAsiaTheme="majorEastAsia" w:cstheme="majorBidi"/>
      <w:b/>
      <w:color w:val="1f4e78"/>
      <w:spacing w:val="5"/>
      <w:sz w:val="50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="Noto Sans" w:hAnsi="Noto Sans" w:asciiTheme="majorHAnsi" w:hAnsiTheme="majorHAnsi" w:eastAsiaTheme="majorEastAsia" w:cstheme="majorBidi"/>
      <w:b/>
      <w:i/>
      <w:iCs/>
      <w:color w:val="4f6275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2026-08-03T19:05:50Z</dcterms:modified>
  <cp:category/>
</cp:coreProperties>
</file>