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AIN-102</w:t>
        <w:br/>
        <w:t>Scoring and Decision Service</w:t>
      </w:r>
    </w:p>
    <w:p>
      <w:pPr>
        <w:jc w:val="center"/>
      </w:pPr>
      <w:r>
        <w:rPr>
          <w:b/>
        </w:rPr>
        <w:t>AnchorInsight™ | Version 1.0 | Implementation Candidate</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after="0" w:before="0"/>
            </w:pPr>
            <w:r>
              <w:rPr>
                <w:sz w:val="16"/>
              </w:rPr>
              <w:t>Document ID</w:t>
            </w:r>
          </w:p>
        </w:tc>
        <w:tc>
          <w:tcPr>
            <w:tcW w:type="dxa" w:w="5040"/>
          </w:tcPr>
          <w:p>
            <w:pPr>
              <w:spacing w:after="0" w:before="0"/>
            </w:pPr>
            <w:r>
              <w:rPr>
                <w:sz w:val="16"/>
              </w:rPr>
              <w:t>AIN-102</w:t>
            </w:r>
          </w:p>
        </w:tc>
      </w:tr>
      <w:tr>
        <w:tc>
          <w:tcPr>
            <w:tcW w:type="dxa" w:w="5040"/>
          </w:tcPr>
          <w:p>
            <w:pPr>
              <w:spacing w:after="0" w:before="0"/>
            </w:pPr>
            <w:r>
              <w:rPr>
                <w:sz w:val="16"/>
              </w:rPr>
              <w:t>Product</w:t>
            </w:r>
          </w:p>
        </w:tc>
        <w:tc>
          <w:tcPr>
            <w:tcW w:type="dxa" w:w="5040"/>
          </w:tcPr>
          <w:p>
            <w:pPr>
              <w:spacing w:after="0" w:before="0"/>
            </w:pPr>
            <w:r>
              <w:rPr>
                <w:sz w:val="16"/>
              </w:rPr>
              <w:t>AnchorInsight™</w:t>
            </w:r>
          </w:p>
        </w:tc>
      </w:tr>
      <w:tr>
        <w:tc>
          <w:tcPr>
            <w:tcW w:type="dxa" w:w="5040"/>
          </w:tcPr>
          <w:p>
            <w:pPr>
              <w:spacing w:after="0" w:before="0"/>
            </w:pPr>
            <w:r>
              <w:rPr>
                <w:sz w:val="16"/>
              </w:rPr>
              <w:t>Platform</w:t>
            </w:r>
          </w:p>
        </w:tc>
        <w:tc>
          <w:tcPr>
            <w:tcW w:type="dxa" w:w="5040"/>
          </w:tcPr>
          <w:p>
            <w:pPr>
              <w:spacing w:after="0" w:before="0"/>
            </w:pPr>
            <w:r>
              <w:rPr>
                <w:sz w:val="16"/>
              </w:rPr>
              <w:t>AnchorOS</w:t>
            </w:r>
          </w:p>
        </w:tc>
      </w:tr>
      <w:tr>
        <w:tc>
          <w:tcPr>
            <w:tcW w:type="dxa" w:w="5040"/>
          </w:tcPr>
          <w:p>
            <w:pPr>
              <w:spacing w:after="0" w:before="0"/>
            </w:pPr>
            <w:r>
              <w:rPr>
                <w:sz w:val="16"/>
              </w:rPr>
              <w:t>Service Dependency</w:t>
            </w:r>
          </w:p>
        </w:tc>
        <w:tc>
          <w:tcPr>
            <w:tcW w:type="dxa" w:w="5040"/>
          </w:tcPr>
          <w:p>
            <w:pPr>
              <w:spacing w:after="0" w:before="0"/>
            </w:pPr>
            <w:r>
              <w:rPr>
                <w:sz w:val="16"/>
              </w:rPr>
              <w:t>AIN-101 Registry Service</w:t>
            </w:r>
          </w:p>
        </w:tc>
      </w:tr>
      <w:tr>
        <w:tc>
          <w:tcPr>
            <w:tcW w:type="dxa" w:w="5040"/>
          </w:tcPr>
          <w:p>
            <w:pPr>
              <w:spacing w:after="0" w:before="0"/>
            </w:pPr>
            <w:r>
              <w:rPr>
                <w:sz w:val="16"/>
              </w:rPr>
              <w:t>Persistence</w:t>
            </w:r>
          </w:p>
        </w:tc>
        <w:tc>
          <w:tcPr>
            <w:tcW w:type="dxa" w:w="5040"/>
          </w:tcPr>
          <w:p>
            <w:pPr>
              <w:spacing w:after="0" w:before="0"/>
            </w:pPr>
            <w:r>
              <w:rPr>
                <w:sz w:val="16"/>
              </w:rPr>
              <w:t>CIR-002 SQLite Registry</w:t>
            </w:r>
          </w:p>
        </w:tc>
      </w:tr>
      <w:tr>
        <w:tc>
          <w:tcPr>
            <w:tcW w:type="dxa" w:w="5040"/>
          </w:tcPr>
          <w:p>
            <w:pPr>
              <w:spacing w:after="0" w:before="0"/>
            </w:pPr>
            <w:r>
              <w:rPr>
                <w:sz w:val="16"/>
              </w:rPr>
              <w:t>Governance</w:t>
            </w:r>
          </w:p>
        </w:tc>
        <w:tc>
          <w:tcPr>
            <w:tcW w:type="dxa" w:w="5040"/>
          </w:tcPr>
          <w:p>
            <w:pPr>
              <w:spacing w:after="0" w:before="0"/>
            </w:pPr>
            <w:r>
              <w:rPr>
                <w:sz w:val="16"/>
              </w:rPr>
              <w:t>Commercial Operating Framework</w:t>
            </w:r>
          </w:p>
        </w:tc>
      </w:tr>
    </w:tbl>
    <w:p>
      <w:pPr>
        <w:pStyle w:val="Heading1"/>
      </w:pPr>
      <w:r>
        <w:t>1. Purpose</w:t>
      </w:r>
    </w:p>
    <w:p>
      <w:r>
        <w:t>AIN-102 provides deterministic scoring, decision-band evaluation, Commercial Confidence Index calculation, and next-action recommendations for AnchorInsight. It converts explicit reviewed inputs into versioned scorecards without allowing AI or presentation code to silently redefine the scoring model.</w:t>
      </w:r>
    </w:p>
    <w:p>
      <w:pPr>
        <w:pStyle w:val="Heading1"/>
      </w:pPr>
      <w:r>
        <w:t>2. Governing Principle</w:t>
      </w:r>
    </w:p>
    <w:p>
      <w:r>
        <w:rPr>
          <w:b/>
        </w:rPr>
        <w:t>AI augments judgment. It does not replace evidence.</w:t>
      </w:r>
    </w:p>
    <w:p>
      <w:r>
        <w:t>AI may suggest candidate inputs or summarize evidence. Human-reviewed inputs, declared criteria, model versions, thresholds, and preserved scorecards remain authoritative.</w:t>
      </w:r>
    </w:p>
    <w:p>
      <w:pPr>
        <w:pStyle w:val="Heading1"/>
      </w:pPr>
      <w:r>
        <w:t>3. Service Architecture</w:t>
      </w:r>
    </w:p>
    <w:p>
      <w:r>
        <w:t>Website/API → AIN-102 Scoring and Decision Service → AIN-101 Registry Service → CIR-002 Database</w:t>
      </w:r>
    </w:p>
    <w:p>
      <w:pPr>
        <w:pStyle w:val="Heading1"/>
      </w:pPr>
      <w:r>
        <w:t>4. Scoring Models</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before="0"/>
            </w:pPr>
            <w:r>
              <w:rPr>
                <w:sz w:val="16"/>
              </w:rPr>
              <w:t>Model</w:t>
            </w:r>
          </w:p>
        </w:tc>
        <w:tc>
          <w:tcPr>
            <w:tcW w:type="dxa" w:w="3360"/>
          </w:tcPr>
          <w:p>
            <w:pPr>
              <w:spacing w:after="0" w:before="0"/>
            </w:pPr>
            <w:r>
              <w:rPr>
                <w:sz w:val="16"/>
              </w:rPr>
              <w:t>Criteria</w:t>
            </w:r>
          </w:p>
        </w:tc>
        <w:tc>
          <w:tcPr>
            <w:tcW w:type="dxa" w:w="3360"/>
          </w:tcPr>
          <w:p>
            <w:pPr>
              <w:spacing w:after="0" w:before="0"/>
            </w:pPr>
            <w:r>
              <w:rPr>
                <w:sz w:val="16"/>
              </w:rPr>
              <w:t>Maximum</w:t>
            </w:r>
          </w:p>
        </w:tc>
      </w:tr>
      <w:tr>
        <w:tc>
          <w:tcPr>
            <w:tcW w:type="dxa" w:w="3360"/>
          </w:tcPr>
          <w:p>
            <w:pPr>
              <w:spacing w:after="0" w:before="0"/>
            </w:pPr>
            <w:r>
              <w:rPr>
                <w:sz w:val="16"/>
              </w:rPr>
              <w:t>Organization Strategic Fit</w:t>
            </w:r>
          </w:p>
        </w:tc>
        <w:tc>
          <w:tcPr>
            <w:tcW w:type="dxa" w:w="3360"/>
          </w:tcPr>
          <w:p>
            <w:pPr>
              <w:spacing w:after="0" w:before="0"/>
            </w:pPr>
            <w:r>
              <w:rPr>
                <w:sz w:val="16"/>
              </w:rPr>
              <w:t>ICP fit, strategic importance, problem relevance, pilot suitability, long-term value</w:t>
            </w:r>
          </w:p>
        </w:tc>
        <w:tc>
          <w:tcPr>
            <w:tcW w:type="dxa" w:w="3360"/>
          </w:tcPr>
          <w:p>
            <w:pPr>
              <w:spacing w:after="0" w:before="0"/>
            </w:pPr>
            <w:r>
              <w:rPr>
                <w:sz w:val="16"/>
              </w:rPr>
              <w:t>25</w:t>
            </w:r>
          </w:p>
        </w:tc>
      </w:tr>
      <w:tr>
        <w:tc>
          <w:tcPr>
            <w:tcW w:type="dxa" w:w="3360"/>
          </w:tcPr>
          <w:p>
            <w:pPr>
              <w:spacing w:after="0" w:before="0"/>
            </w:pPr>
            <w:r>
              <w:rPr>
                <w:sz w:val="16"/>
              </w:rPr>
              <w:t>Organizational Viability Score</w:t>
            </w:r>
          </w:p>
        </w:tc>
        <w:tc>
          <w:tcPr>
            <w:tcW w:type="dxa" w:w="3360"/>
          </w:tcPr>
          <w:p>
            <w:pPr>
              <w:spacing w:after="0" w:before="0"/>
            </w:pPr>
            <w:r>
              <w:rPr>
                <w:sz w:val="16"/>
              </w:rPr>
              <w:t>Financial stability, market stability, strategic direction, operational continuity, organizational risk</w:t>
            </w:r>
          </w:p>
        </w:tc>
        <w:tc>
          <w:tcPr>
            <w:tcW w:type="dxa" w:w="3360"/>
          </w:tcPr>
          <w:p>
            <w:pPr>
              <w:spacing w:after="0" w:before="0"/>
            </w:pPr>
            <w:r>
              <w:rPr>
                <w:sz w:val="16"/>
              </w:rPr>
              <w:t>25</w:t>
            </w:r>
          </w:p>
        </w:tc>
      </w:tr>
      <w:tr>
        <w:tc>
          <w:tcPr>
            <w:tcW w:type="dxa" w:w="3360"/>
          </w:tcPr>
          <w:p>
            <w:pPr>
              <w:spacing w:after="0" w:before="0"/>
            </w:pPr>
            <w:r>
              <w:rPr>
                <w:sz w:val="16"/>
              </w:rPr>
              <w:t>Evidence Confidence Score</w:t>
            </w:r>
          </w:p>
        </w:tc>
        <w:tc>
          <w:tcPr>
            <w:tcW w:type="dxa" w:w="3360"/>
          </w:tcPr>
          <w:p>
            <w:pPr>
              <w:spacing w:after="0" w:before="0"/>
            </w:pPr>
            <w:r>
              <w:rPr>
                <w:sz w:val="16"/>
              </w:rPr>
              <w:t>Quality, authority, recency, completeness, corroboration</w:t>
            </w:r>
          </w:p>
        </w:tc>
        <w:tc>
          <w:tcPr>
            <w:tcW w:type="dxa" w:w="3360"/>
          </w:tcPr>
          <w:p>
            <w:pPr>
              <w:spacing w:after="0" w:before="0"/>
            </w:pPr>
            <w:r>
              <w:rPr>
                <w:sz w:val="16"/>
              </w:rPr>
              <w:t>25</w:t>
            </w:r>
          </w:p>
        </w:tc>
      </w:tr>
      <w:tr>
        <w:tc>
          <w:tcPr>
            <w:tcW w:type="dxa" w:w="3360"/>
          </w:tcPr>
          <w:p>
            <w:pPr>
              <w:spacing w:after="0" w:before="0"/>
            </w:pPr>
            <w:r>
              <w:rPr>
                <w:sz w:val="16"/>
              </w:rPr>
              <w:t>Relationship Strength Score</w:t>
            </w:r>
          </w:p>
        </w:tc>
        <w:tc>
          <w:tcPr>
            <w:tcW w:type="dxa" w:w="3360"/>
          </w:tcPr>
          <w:p>
            <w:pPr>
              <w:spacing w:after="0" w:before="0"/>
            </w:pPr>
            <w:r>
              <w:rPr>
                <w:sz w:val="16"/>
              </w:rPr>
              <w:t>Access, trust, influence, engagement, reciprocity</w:t>
            </w:r>
          </w:p>
        </w:tc>
        <w:tc>
          <w:tcPr>
            <w:tcW w:type="dxa" w:w="3360"/>
          </w:tcPr>
          <w:p>
            <w:pPr>
              <w:spacing w:after="0" w:before="0"/>
            </w:pPr>
            <w:r>
              <w:rPr>
                <w:sz w:val="16"/>
              </w:rPr>
              <w:t>20</w:t>
            </w:r>
          </w:p>
        </w:tc>
      </w:tr>
      <w:tr>
        <w:tc>
          <w:tcPr>
            <w:tcW w:type="dxa" w:w="3360"/>
          </w:tcPr>
          <w:p>
            <w:pPr>
              <w:spacing w:after="0" w:before="0"/>
            </w:pPr>
            <w:r>
              <w:rPr>
                <w:sz w:val="16"/>
              </w:rPr>
              <w:t>Opportunity Score</w:t>
            </w:r>
          </w:p>
        </w:tc>
        <w:tc>
          <w:tcPr>
            <w:tcW w:type="dxa" w:w="3360"/>
          </w:tcPr>
          <w:p>
            <w:pPr>
              <w:spacing w:after="0" w:before="0"/>
            </w:pPr>
            <w:r>
              <w:rPr>
                <w:sz w:val="16"/>
              </w:rPr>
              <w:t>Need, authority, budget, alignment, fit, position, readiness, long-term value</w:t>
            </w:r>
          </w:p>
        </w:tc>
        <w:tc>
          <w:tcPr>
            <w:tcW w:type="dxa" w:w="3360"/>
          </w:tcPr>
          <w:p>
            <w:pPr>
              <w:spacing w:after="0" w:before="0"/>
            </w:pPr>
            <w:r>
              <w:rPr>
                <w:sz w:val="16"/>
              </w:rPr>
              <w:t>40</w:t>
            </w:r>
          </w:p>
        </w:tc>
      </w:tr>
      <w:tr>
        <w:tc>
          <w:tcPr>
            <w:tcW w:type="dxa" w:w="3360"/>
          </w:tcPr>
          <w:p>
            <w:pPr>
              <w:spacing w:after="0" w:before="0"/>
            </w:pPr>
            <w:r>
              <w:rPr>
                <w:sz w:val="16"/>
              </w:rPr>
              <w:t>Commercial Confidence Index</w:t>
            </w:r>
          </w:p>
        </w:tc>
        <w:tc>
          <w:tcPr>
            <w:tcW w:type="dxa" w:w="3360"/>
          </w:tcPr>
          <w:p>
            <w:pPr>
              <w:spacing w:after="0" w:before="0"/>
            </w:pPr>
            <w:r>
              <w:rPr>
                <w:sz w:val="16"/>
              </w:rPr>
              <w:t>Weighted roll-up of current approved scorecards</w:t>
            </w:r>
          </w:p>
        </w:tc>
        <w:tc>
          <w:tcPr>
            <w:tcW w:type="dxa" w:w="3360"/>
          </w:tcPr>
          <w:p>
            <w:pPr>
              <w:spacing w:after="0" w:before="0"/>
            </w:pPr>
            <w:r>
              <w:rPr>
                <w:sz w:val="16"/>
              </w:rPr>
              <w:t>100 normalized</w:t>
            </w:r>
          </w:p>
        </w:tc>
      </w:tr>
    </w:tbl>
    <w:p>
      <w:pPr>
        <w:pStyle w:val="Heading1"/>
      </w:pPr>
      <w:r>
        <w:t>5. Decision Bands</w:t>
      </w:r>
    </w:p>
    <w:p>
      <w:pPr>
        <w:pStyle w:val="ListBullet"/>
      </w:pPr>
      <w:r>
        <w:t>85–100: Pursue</w:t>
      </w:r>
    </w:p>
    <w:p>
      <w:pPr>
        <w:pStyle w:val="ListBullet"/>
      </w:pPr>
      <w:r>
        <w:t>70–84.99: Validate</w:t>
      </w:r>
    </w:p>
    <w:p>
      <w:pPr>
        <w:pStyle w:val="ListBullet"/>
      </w:pPr>
      <w:r>
        <w:t>50–69.99: Monitor</w:t>
      </w:r>
    </w:p>
    <w:p>
      <w:pPr>
        <w:pStyle w:val="ListBullet"/>
      </w:pPr>
      <w:r>
        <w:t>30–49.99: Hold</w:t>
      </w:r>
    </w:p>
    <w:p>
      <w:pPr>
        <w:pStyle w:val="ListBullet"/>
      </w:pPr>
      <w:r>
        <w:t>0–29.99: Reject</w:t>
      </w:r>
    </w:p>
    <w:p>
      <w:r>
        <w:t>Evidence Confidence and Relationship Strength use domain-specific labels while retaining equivalent normalized thresholds.</w:t>
      </w:r>
    </w:p>
    <w:p>
      <w:pPr>
        <w:pStyle w:val="Heading1"/>
      </w:pPr>
      <w:r>
        <w:t>6. Commercial Confidence Index</w:t>
      </w:r>
    </w:p>
    <w:p>
      <w:r>
        <w:t>CCI uses weighted current scorecards: Organization Strategic Fit 25%, Organizational Viability 20%, Evidence Confidence 20%, Relationship Strength 15%, and Opportunity Score 20%. Missing components reduce coverage. A CCI with less than 60% coverage cannot produce a Pursue decision.</w:t>
      </w:r>
    </w:p>
    <w:p>
      <w:pPr>
        <w:pStyle w:val="Heading1"/>
      </w:pPr>
      <w:r>
        <w:t>7. Controls</w:t>
      </w:r>
    </w:p>
    <w:p>
      <w:pPr>
        <w:pStyle w:val="ListBullet"/>
      </w:pPr>
      <w:r>
        <w:t>Unknown or missing criteria are rejected.</w:t>
      </w:r>
    </w:p>
    <w:p>
      <w:pPr>
        <w:pStyle w:val="ListBullet"/>
      </w:pPr>
      <w:r>
        <w:t>Criterion values outside the declared range are rejected.</w:t>
      </w:r>
    </w:p>
    <w:p>
      <w:pPr>
        <w:pStyle w:val="ListBullet"/>
      </w:pPr>
      <w:r>
        <w:t>Score totals cannot exceed the model maximum.</w:t>
      </w:r>
    </w:p>
    <w:p>
      <w:pPr>
        <w:pStyle w:val="ListBullet"/>
      </w:pPr>
      <w:r>
        <w:t>Model ID and version are preserved with every scorecard.</w:t>
      </w:r>
    </w:p>
    <w:p>
      <w:pPr>
        <w:pStyle w:val="ListBullet"/>
      </w:pPr>
      <w:r>
        <w:t>Approved scorecards remain immutable through CIR-002.</w:t>
      </w:r>
    </w:p>
    <w:p>
      <w:pPr>
        <w:pStyle w:val="ListBullet"/>
      </w:pPr>
      <w:r>
        <w:t>CCI reports component coverage and missing scorecards.</w:t>
      </w:r>
    </w:p>
    <w:p>
      <w:pPr>
        <w:pStyle w:val="ListBullet"/>
      </w:pPr>
      <w:r>
        <w:t>Recommendations trace to the current scorecard or CCI.</w:t>
      </w:r>
    </w:p>
    <w:p>
      <w:pPr>
        <w:pStyle w:val="Heading1"/>
      </w:pPr>
      <w:r>
        <w:t>8. CPS Energy Proof Case</w:t>
      </w:r>
    </w:p>
    <w:p>
      <w:r>
        <w:t>The demonstration creates Organization Strategic Fit, Organizational Viability, Evidence Confidence, and Relationship Strength scorecards for CPS Energy, then calculates the Commercial Confidence Index and reports the missing Opportunity Score.</w:t>
      </w:r>
    </w:p>
    <w:p>
      <w:pPr>
        <w:pStyle w:val="Heading1"/>
      </w:pPr>
      <w:r>
        <w:t>9. Verification Requirements</w:t>
      </w:r>
    </w:p>
    <w:p>
      <w:pPr>
        <w:pStyle w:val="ListBullet"/>
      </w:pPr>
      <w:r>
        <w:t>AIN-102-V01 — Service health reports HEALTHY.</w:t>
      </w:r>
    </w:p>
    <w:p>
      <w:pPr>
        <w:pStyle w:val="ListBullet"/>
      </w:pPr>
      <w:r>
        <w:t>AIN-102-V02 — Score models are discoverable.</w:t>
      </w:r>
    </w:p>
    <w:p>
      <w:pPr>
        <w:pStyle w:val="ListBullet"/>
      </w:pPr>
      <w:r>
        <w:t>AIN-102-V03 — A 23/25 organization score normalizes to 92%.</w:t>
      </w:r>
    </w:p>
    <w:p>
      <w:pPr>
        <w:pStyle w:val="ListBullet"/>
      </w:pPr>
      <w:r>
        <w:t>AIN-102-V04 — Missing criteria are rejected.</w:t>
      </w:r>
    </w:p>
    <w:p>
      <w:pPr>
        <w:pStyle w:val="ListBullet"/>
      </w:pPr>
      <w:r>
        <w:t>AIN-102-V05 — Out-of-range criteria are rejected.</w:t>
      </w:r>
    </w:p>
    <w:p>
      <w:pPr>
        <w:pStyle w:val="ListBullet"/>
      </w:pPr>
      <w:r>
        <w:t>AIN-102-V06 — OVS decision bands are applied deterministically.</w:t>
      </w:r>
    </w:p>
    <w:p>
      <w:pPr>
        <w:pStyle w:val="ListBullet"/>
      </w:pPr>
      <w:r>
        <w:t>AIN-102-V07 — Evidence Confidence uses its domain-specific decision labels.</w:t>
      </w:r>
    </w:p>
    <w:p>
      <w:pPr>
        <w:pStyle w:val="ListBullet"/>
      </w:pPr>
      <w:r>
        <w:t>AIN-102-V08 — CCI reports component coverage and missing components.</w:t>
      </w:r>
    </w:p>
    <w:p>
      <w:pPr>
        <w:pStyle w:val="ListBullet"/>
      </w:pPr>
      <w:r>
        <w:t>AIN-102-V09 — Organization recommendation prefers the latest CCI when present.</w:t>
      </w:r>
    </w:p>
    <w:p>
      <w:pPr>
        <w:pStyle w:val="Heading1"/>
      </w:pPr>
      <w:r>
        <w:t>10. Acceptance</w:t>
      </w:r>
    </w:p>
    <w:p>
      <w:r>
        <w:t>AIN-102 is accepted when all automated tests pass, the CPS Energy demonstration completes, the service and database report HEALTHY, approved scorecards are persisted, and the resulting decisions are reproducible from the same inputs.</w:t>
      </w:r>
    </w:p>
    <w:p>
      <w:pPr>
        <w:jc w:val="center"/>
      </w:pPr>
      <w:r>
        <w:rPr>
          <w:b/>
          <w:color w:val="1F4E79"/>
        </w:rPr>
        <w:t>⚒ Strike true. Build clean. Verify everything.</w:t>
        <w:br/>
        <w:t>AI augments judgment. It does not replace evidence. Stay disciplined.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Ubuntu Sans" w:hAnsi="Ubunt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Ubuntu Sans" w:hAnsi="Ubuntu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Ubuntu Sans" w:hAnsi="Ubuntu San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Ubuntu Sans" w:hAnsi="Ubuntu San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