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AIN-103</w:t>
        <w:br/>
        <w:t>Organization Intelligence Profile Service</w:t>
      </w:r>
    </w:p>
    <w:p>
      <w:pPr>
        <w:spacing w:after="60" w:line="240" w:lineRule="auto"/>
        <w:jc w:val="center"/>
      </w:pPr>
      <w:r>
        <w:rPr>
          <w:b/>
        </w:rPr>
        <w:t>AnchorInsight™ | Version 1.0 | Implementation Candidate</w:t>
      </w:r>
    </w:p>
    <w:tbl>
      <w:tblPr>
        <w:tblStyle w:val="TableGrid"/>
        <w:tblW w:type="auto" w:w="0"/>
        <w:jc w:val="center"/>
        <w:tblLook w:firstColumn="1" w:firstRow="1" w:lastColumn="0" w:lastRow="0" w:noHBand="0" w:noVBand="1" w:val="04A0"/>
      </w:tblPr>
      <w:tblGrid>
        <w:gridCol w:w="5040"/>
        <w:gridCol w:w="5040"/>
      </w:tblGrid>
      <w:tr>
        <w:tc>
          <w:tcPr>
            <w:tcW w:type="dxa" w:w="5040"/>
          </w:tcPr>
          <w:p>
            <w:pPr>
              <w:spacing w:before="0" w:after="0" w:line="240" w:lineRule="auto"/>
            </w:pPr>
            <w:r>
              <w:rPr>
                <w:sz w:val="16"/>
              </w:rPr>
              <w:t>Document ID</w:t>
            </w:r>
          </w:p>
        </w:tc>
        <w:tc>
          <w:tcPr>
            <w:tcW w:type="dxa" w:w="5040"/>
          </w:tcPr>
          <w:p>
            <w:pPr>
              <w:spacing w:before="0" w:after="0" w:line="240" w:lineRule="auto"/>
            </w:pPr>
            <w:r>
              <w:rPr>
                <w:sz w:val="16"/>
              </w:rPr>
              <w:t>AIN-103</w:t>
            </w:r>
          </w:p>
        </w:tc>
      </w:tr>
      <w:tr>
        <w:tc>
          <w:tcPr>
            <w:tcW w:type="dxa" w:w="5040"/>
          </w:tcPr>
          <w:p>
            <w:pPr>
              <w:spacing w:before="0" w:after="0" w:line="240" w:lineRule="auto"/>
            </w:pPr>
            <w:r>
              <w:rPr>
                <w:sz w:val="16"/>
              </w:rPr>
              <w:t>Product</w:t>
            </w:r>
          </w:p>
        </w:tc>
        <w:tc>
          <w:tcPr>
            <w:tcW w:type="dxa" w:w="5040"/>
          </w:tcPr>
          <w:p>
            <w:pPr>
              <w:spacing w:before="0" w:after="0" w:line="240" w:lineRule="auto"/>
            </w:pPr>
            <w:r>
              <w:rPr>
                <w:sz w:val="16"/>
              </w:rPr>
              <w:t>AnchorInsight™</w:t>
            </w:r>
          </w:p>
        </w:tc>
      </w:tr>
      <w:tr>
        <w:tc>
          <w:tcPr>
            <w:tcW w:type="dxa" w:w="5040"/>
          </w:tcPr>
          <w:p>
            <w:pPr>
              <w:spacing w:before="0" w:after="0" w:line="240" w:lineRule="auto"/>
            </w:pPr>
            <w:r>
              <w:rPr>
                <w:sz w:val="16"/>
              </w:rPr>
              <w:t>Platform</w:t>
            </w:r>
          </w:p>
        </w:tc>
        <w:tc>
          <w:tcPr>
            <w:tcW w:type="dxa" w:w="5040"/>
          </w:tcPr>
          <w:p>
            <w:pPr>
              <w:spacing w:before="0" w:after="0" w:line="240" w:lineRule="auto"/>
            </w:pPr>
            <w:r>
              <w:rPr>
                <w:sz w:val="16"/>
              </w:rPr>
              <w:t>AnchorOS</w:t>
            </w:r>
          </w:p>
        </w:tc>
      </w:tr>
      <w:tr>
        <w:tc>
          <w:tcPr>
            <w:tcW w:type="dxa" w:w="5040"/>
          </w:tcPr>
          <w:p>
            <w:pPr>
              <w:spacing w:before="0" w:after="0" w:line="240" w:lineRule="auto"/>
            </w:pPr>
            <w:r>
              <w:rPr>
                <w:sz w:val="16"/>
              </w:rPr>
              <w:t>Service Dependencies</w:t>
            </w:r>
          </w:p>
        </w:tc>
        <w:tc>
          <w:tcPr>
            <w:tcW w:type="dxa" w:w="5040"/>
          </w:tcPr>
          <w:p>
            <w:pPr>
              <w:spacing w:before="0" w:after="0" w:line="240" w:lineRule="auto"/>
            </w:pPr>
            <w:r>
              <w:rPr>
                <w:sz w:val="16"/>
              </w:rPr>
              <w:t>AIN-102, AIN-101</w:t>
            </w:r>
          </w:p>
        </w:tc>
      </w:tr>
      <w:tr>
        <w:tc>
          <w:tcPr>
            <w:tcW w:type="dxa" w:w="5040"/>
          </w:tcPr>
          <w:p>
            <w:pPr>
              <w:spacing w:before="0" w:after="0" w:line="240" w:lineRule="auto"/>
            </w:pPr>
            <w:r>
              <w:rPr>
                <w:sz w:val="16"/>
              </w:rPr>
              <w:t>Persistence</w:t>
            </w:r>
          </w:p>
        </w:tc>
        <w:tc>
          <w:tcPr>
            <w:tcW w:type="dxa" w:w="5040"/>
          </w:tcPr>
          <w:p>
            <w:pPr>
              <w:spacing w:before="0" w:after="0" w:line="240" w:lineRule="auto"/>
            </w:pPr>
            <w:r>
              <w:rPr>
                <w:sz w:val="16"/>
              </w:rPr>
              <w:t>CIR-002</w:t>
            </w:r>
          </w:p>
        </w:tc>
      </w:tr>
      <w:tr>
        <w:tc>
          <w:tcPr>
            <w:tcW w:type="dxa" w:w="5040"/>
          </w:tcPr>
          <w:p>
            <w:pPr>
              <w:spacing w:before="0" w:after="0" w:line="240" w:lineRule="auto"/>
            </w:pPr>
            <w:r>
              <w:rPr>
                <w:sz w:val="16"/>
              </w:rPr>
              <w:t>Purpose</w:t>
            </w:r>
          </w:p>
        </w:tc>
        <w:tc>
          <w:tcPr>
            <w:tcW w:type="dxa" w:w="5040"/>
          </w:tcPr>
          <w:p>
            <w:pPr>
              <w:spacing w:before="0" w:after="0" w:line="240" w:lineRule="auto"/>
            </w:pPr>
            <w:r>
              <w:rPr>
                <w:sz w:val="16"/>
              </w:rPr>
              <w:t>Display-ready organization decision object</w:t>
            </w:r>
          </w:p>
        </w:tc>
      </w:tr>
    </w:tbl>
    <w:p>
      <w:pPr>
        <w:pStyle w:val="Heading1"/>
      </w:pPr>
      <w:r>
        <w:t>1. Purpose</w:t>
      </w:r>
    </w:p>
    <w:p>
      <w:pPr>
        <w:spacing w:after="60" w:line="240" w:lineRule="auto"/>
      </w:pPr>
      <w:r>
        <w:t>AIN-103 assembles a coherent one-page organization intelligence profile from CIR-002 Registry records, AIN-101 service responses, and AIN-102 approved scorecards. It provides a stable decision object for websites, APIs, reports, and governed export without placing business logic in the presentation layer.</w:t>
      </w:r>
    </w:p>
    <w:p>
      <w:pPr>
        <w:pStyle w:val="Heading1"/>
      </w:pPr>
      <w:r>
        <w:t>2. Governing Rules</w:t>
      </w:r>
    </w:p>
    <w:p>
      <w:pPr>
        <w:pStyle w:val="ListBullet"/>
      </w:pPr>
      <w:r>
        <w:t>The service SHALL not invent missing information.</w:t>
      </w:r>
    </w:p>
    <w:p>
      <w:pPr>
        <w:pStyle w:val="ListBullet"/>
      </w:pPr>
      <w:r>
        <w:t>Missing scores and records SHALL be visible.</w:t>
      </w:r>
    </w:p>
    <w:p>
      <w:pPr>
        <w:pStyle w:val="ListBullet"/>
      </w:pPr>
      <w:r>
        <w:t>Recommendations SHALL trace to current approved scorecards and open actions.</w:t>
      </w:r>
    </w:p>
    <w:p>
      <w:pPr>
        <w:pStyle w:val="ListBullet"/>
      </w:pPr>
      <w:r>
        <w:t>The profile SHALL remain JSON-safe and presentation-neutral.</w:t>
      </w:r>
    </w:p>
    <w:p>
      <w:pPr>
        <w:pStyle w:val="ListBullet"/>
      </w:pPr>
      <w:r>
        <w:t>The service SHALL perform no unmanaged SQL writes.</w:t>
      </w:r>
    </w:p>
    <w:p>
      <w:pPr>
        <w:pStyle w:val="ListBullet"/>
      </w:pPr>
      <w:r>
        <w:t>AI summaries may be added later but SHALL remain distinguishable from evidence.</w:t>
      </w:r>
    </w:p>
    <w:p>
      <w:pPr>
        <w:pStyle w:val="Heading1"/>
      </w:pPr>
      <w:r>
        <w:t>3. Profile Structure</w:t>
      </w:r>
    </w:p>
    <w:tbl>
      <w:tblPr>
        <w:tblStyle w:val="TableGrid"/>
        <w:tblW w:type="auto" w:w="0"/>
        <w:tblLook w:firstColumn="1" w:firstRow="1" w:lastColumn="0" w:lastRow="0" w:noHBand="0" w:noVBand="1" w:val="04A0"/>
      </w:tblPr>
      <w:tblGrid>
        <w:gridCol w:w="5040"/>
        <w:gridCol w:w="5040"/>
      </w:tblGrid>
      <w:tr>
        <w:tc>
          <w:tcPr>
            <w:tcW w:type="dxa" w:w="5040"/>
          </w:tcPr>
          <w:p>
            <w:pPr>
              <w:spacing w:before="0" w:after="0" w:line="240" w:lineRule="auto"/>
            </w:pPr>
            <w:r>
              <w:rPr>
                <w:sz w:val="16"/>
              </w:rPr>
              <w:t>Section</w:t>
            </w:r>
          </w:p>
        </w:tc>
        <w:tc>
          <w:tcPr>
            <w:tcW w:type="dxa" w:w="5040"/>
          </w:tcPr>
          <w:p>
            <w:pPr>
              <w:spacing w:before="0" w:after="0" w:line="240" w:lineRule="auto"/>
            </w:pPr>
            <w:r>
              <w:rPr>
                <w:sz w:val="16"/>
              </w:rPr>
              <w:t>Content</w:t>
            </w:r>
          </w:p>
        </w:tc>
      </w:tr>
      <w:tr>
        <w:tc>
          <w:tcPr>
            <w:tcW w:type="dxa" w:w="5040"/>
          </w:tcPr>
          <w:p>
            <w:pPr>
              <w:spacing w:before="0" w:after="0" w:line="240" w:lineRule="auto"/>
            </w:pPr>
            <w:r>
              <w:rPr>
                <w:sz w:val="16"/>
              </w:rPr>
              <w:t>Organization identity</w:t>
            </w:r>
          </w:p>
        </w:tc>
        <w:tc>
          <w:tcPr>
            <w:tcW w:type="dxa" w:w="5040"/>
          </w:tcPr>
          <w:p>
            <w:pPr>
              <w:spacing w:before="0" w:after="0" w:line="240" w:lineRule="auto"/>
            </w:pPr>
            <w:r>
              <w:rPr>
                <w:sz w:val="16"/>
              </w:rPr>
              <w:t>COF ID, names, sector, role, location, website, owner, relationship stage</w:t>
            </w:r>
          </w:p>
        </w:tc>
      </w:tr>
      <w:tr>
        <w:tc>
          <w:tcPr>
            <w:tcW w:type="dxa" w:w="5040"/>
          </w:tcPr>
          <w:p>
            <w:pPr>
              <w:spacing w:before="0" w:after="0" w:line="240" w:lineRule="auto"/>
            </w:pPr>
            <w:r>
              <w:rPr>
                <w:sz w:val="16"/>
              </w:rPr>
              <w:t>Decision</w:t>
            </w:r>
          </w:p>
        </w:tc>
        <w:tc>
          <w:tcPr>
            <w:tcW w:type="dxa" w:w="5040"/>
          </w:tcPr>
          <w:p>
            <w:pPr>
              <w:spacing w:before="0" w:after="0" w:line="240" w:lineRule="auto"/>
            </w:pPr>
            <w:r>
              <w:rPr>
                <w:sz w:val="16"/>
              </w:rPr>
              <w:t>Current decision, confidence, priority, strategic value, basis, next action</w:t>
            </w:r>
          </w:p>
        </w:tc>
      </w:tr>
      <w:tr>
        <w:tc>
          <w:tcPr>
            <w:tcW w:type="dxa" w:w="5040"/>
          </w:tcPr>
          <w:p>
            <w:pPr>
              <w:spacing w:before="0" w:after="0" w:line="240" w:lineRule="auto"/>
            </w:pPr>
            <w:r>
              <w:rPr>
                <w:sz w:val="16"/>
              </w:rPr>
              <w:t>Score tiles</w:t>
            </w:r>
          </w:p>
        </w:tc>
        <w:tc>
          <w:tcPr>
            <w:tcW w:type="dxa" w:w="5040"/>
          </w:tcPr>
          <w:p>
            <w:pPr>
              <w:spacing w:before="0" w:after="0" w:line="240" w:lineRule="auto"/>
            </w:pPr>
            <w:r>
              <w:rPr>
                <w:sz w:val="16"/>
              </w:rPr>
              <w:t>Strategic Fit, OVS, Evidence Confidence, Relationship Strength, CCI</w:t>
            </w:r>
          </w:p>
        </w:tc>
      </w:tr>
      <w:tr>
        <w:tc>
          <w:tcPr>
            <w:tcW w:type="dxa" w:w="5040"/>
          </w:tcPr>
          <w:p>
            <w:pPr>
              <w:spacing w:before="0" w:after="0" w:line="240" w:lineRule="auto"/>
            </w:pPr>
            <w:r>
              <w:rPr>
                <w:sz w:val="16"/>
              </w:rPr>
              <w:t>Commercial Confidence</w:t>
            </w:r>
          </w:p>
        </w:tc>
        <w:tc>
          <w:tcPr>
            <w:tcW w:type="dxa" w:w="5040"/>
          </w:tcPr>
          <w:p>
            <w:pPr>
              <w:spacing w:before="0" w:after="0" w:line="240" w:lineRule="auto"/>
            </w:pPr>
            <w:r>
              <w:rPr>
                <w:sz w:val="16"/>
              </w:rPr>
              <w:t>Current CCI, coverage, recommendation, scorecard reference</w:t>
            </w:r>
          </w:p>
        </w:tc>
      </w:tr>
      <w:tr>
        <w:tc>
          <w:tcPr>
            <w:tcW w:type="dxa" w:w="5040"/>
          </w:tcPr>
          <w:p>
            <w:pPr>
              <w:spacing w:before="0" w:after="0" w:line="240" w:lineRule="auto"/>
            </w:pPr>
            <w:r>
              <w:rPr>
                <w:sz w:val="16"/>
              </w:rPr>
              <w:t>Markets</w:t>
            </w:r>
          </w:p>
        </w:tc>
        <w:tc>
          <w:tcPr>
            <w:tcW w:type="dxa" w:w="5040"/>
          </w:tcPr>
          <w:p>
            <w:pPr>
              <w:spacing w:before="0" w:after="0" w:line="240" w:lineRule="auto"/>
            </w:pPr>
            <w:r>
              <w:rPr>
                <w:sz w:val="16"/>
              </w:rPr>
              <w:t>Market memberships, relevance, role, priority, lifecycle state</w:t>
            </w:r>
          </w:p>
        </w:tc>
      </w:tr>
      <w:tr>
        <w:tc>
          <w:tcPr>
            <w:tcW w:type="dxa" w:w="5040"/>
          </w:tcPr>
          <w:p>
            <w:pPr>
              <w:spacing w:before="0" w:after="0" w:line="240" w:lineRule="auto"/>
            </w:pPr>
            <w:r>
              <w:rPr>
                <w:sz w:val="16"/>
              </w:rPr>
              <w:t>Evidence</w:t>
            </w:r>
          </w:p>
        </w:tc>
        <w:tc>
          <w:tcPr>
            <w:tcW w:type="dxa" w:w="5040"/>
          </w:tcPr>
          <w:p>
            <w:pPr>
              <w:spacing w:before="0" w:after="0" w:line="240" w:lineRule="auto"/>
            </w:pPr>
            <w:r>
              <w:rPr>
                <w:sz w:val="16"/>
              </w:rPr>
              <w:t>Counts, classifications, sources, assertions, provenance</w:t>
            </w:r>
          </w:p>
        </w:tc>
      </w:tr>
      <w:tr>
        <w:tc>
          <w:tcPr>
            <w:tcW w:type="dxa" w:w="5040"/>
          </w:tcPr>
          <w:p>
            <w:pPr>
              <w:spacing w:before="0" w:after="0" w:line="240" w:lineRule="auto"/>
            </w:pPr>
            <w:r>
              <w:rPr>
                <w:sz w:val="16"/>
              </w:rPr>
              <w:t>Relationships</w:t>
            </w:r>
          </w:p>
        </w:tc>
        <w:tc>
          <w:tcPr>
            <w:tcW w:type="dxa" w:w="5040"/>
          </w:tcPr>
          <w:p>
            <w:pPr>
              <w:spacing w:before="0" w:after="0" w:line="240" w:lineRule="auto"/>
            </w:pPr>
            <w:r>
              <w:rPr>
                <w:sz w:val="16"/>
              </w:rPr>
              <w:t>Contacts and current relationship score</w:t>
            </w:r>
          </w:p>
        </w:tc>
      </w:tr>
      <w:tr>
        <w:tc>
          <w:tcPr>
            <w:tcW w:type="dxa" w:w="5040"/>
          </w:tcPr>
          <w:p>
            <w:pPr>
              <w:spacing w:before="0" w:after="0" w:line="240" w:lineRule="auto"/>
            </w:pPr>
            <w:r>
              <w:rPr>
                <w:sz w:val="16"/>
              </w:rPr>
              <w:t>Opportunities</w:t>
            </w:r>
          </w:p>
        </w:tc>
        <w:tc>
          <w:tcPr>
            <w:tcW w:type="dxa" w:w="5040"/>
          </w:tcPr>
          <w:p>
            <w:pPr>
              <w:spacing w:before="0" w:after="0" w:line="240" w:lineRule="auto"/>
            </w:pPr>
            <w:r>
              <w:rPr>
                <w:sz w:val="16"/>
              </w:rPr>
              <w:t>Active and historical commercial opportunities</w:t>
            </w:r>
          </w:p>
        </w:tc>
      </w:tr>
      <w:tr>
        <w:tc>
          <w:tcPr>
            <w:tcW w:type="dxa" w:w="5040"/>
          </w:tcPr>
          <w:p>
            <w:pPr>
              <w:spacing w:before="0" w:after="0" w:line="240" w:lineRule="auto"/>
            </w:pPr>
            <w:r>
              <w:rPr>
                <w:sz w:val="16"/>
              </w:rPr>
              <w:t>Actions</w:t>
            </w:r>
          </w:p>
        </w:tc>
        <w:tc>
          <w:tcPr>
            <w:tcW w:type="dxa" w:w="5040"/>
          </w:tcPr>
          <w:p>
            <w:pPr>
              <w:spacing w:before="0" w:after="0" w:line="240" w:lineRule="auto"/>
            </w:pPr>
            <w:r>
              <w:rPr>
                <w:sz w:val="16"/>
              </w:rPr>
              <w:t>Open prioritized next actions</w:t>
            </w:r>
          </w:p>
        </w:tc>
      </w:tr>
      <w:tr>
        <w:tc>
          <w:tcPr>
            <w:tcW w:type="dxa" w:w="5040"/>
          </w:tcPr>
          <w:p>
            <w:pPr>
              <w:spacing w:before="0" w:after="0" w:line="240" w:lineRule="auto"/>
            </w:pPr>
            <w:r>
              <w:rPr>
                <w:sz w:val="16"/>
              </w:rPr>
              <w:t>Risks and assumptions</w:t>
            </w:r>
          </w:p>
        </w:tc>
        <w:tc>
          <w:tcPr>
            <w:tcW w:type="dxa" w:w="5040"/>
          </w:tcPr>
          <w:p>
            <w:pPr>
              <w:spacing w:before="0" w:after="0" w:line="240" w:lineRule="auto"/>
            </w:pPr>
            <w:r>
              <w:rPr>
                <w:sz w:val="16"/>
              </w:rPr>
              <w:t>Current unresolved conditions</w:t>
            </w:r>
          </w:p>
        </w:tc>
      </w:tr>
      <w:tr>
        <w:tc>
          <w:tcPr>
            <w:tcW w:type="dxa" w:w="5040"/>
          </w:tcPr>
          <w:p>
            <w:pPr>
              <w:spacing w:before="0" w:after="0" w:line="240" w:lineRule="auto"/>
            </w:pPr>
            <w:r>
              <w:rPr>
                <w:sz w:val="16"/>
              </w:rPr>
              <w:t>Timeline</w:t>
            </w:r>
          </w:p>
        </w:tc>
        <w:tc>
          <w:tcPr>
            <w:tcW w:type="dxa" w:w="5040"/>
          </w:tcPr>
          <w:p>
            <w:pPr>
              <w:spacing w:before="0" w:after="0" w:line="240" w:lineRule="auto"/>
            </w:pPr>
            <w:r>
              <w:rPr>
                <w:sz w:val="16"/>
              </w:rPr>
              <w:t>Append-only lifecycle history</w:t>
            </w:r>
          </w:p>
        </w:tc>
      </w:tr>
      <w:tr>
        <w:tc>
          <w:tcPr>
            <w:tcW w:type="dxa" w:w="5040"/>
          </w:tcPr>
          <w:p>
            <w:pPr>
              <w:spacing w:before="0" w:after="0" w:line="240" w:lineRule="auto"/>
            </w:pPr>
            <w:r>
              <w:rPr>
                <w:sz w:val="16"/>
              </w:rPr>
              <w:t>Readiness</w:t>
            </w:r>
          </w:p>
        </w:tc>
        <w:tc>
          <w:tcPr>
            <w:tcW w:type="dxa" w:w="5040"/>
          </w:tcPr>
          <w:p>
            <w:pPr>
              <w:spacing w:before="0" w:after="0" w:line="240" w:lineRule="auto"/>
            </w:pPr>
            <w:r>
              <w:rPr>
                <w:sz w:val="16"/>
              </w:rPr>
              <w:t>Deterministic profile-completion checks</w:t>
            </w:r>
          </w:p>
        </w:tc>
      </w:tr>
      <w:tr>
        <w:tc>
          <w:tcPr>
            <w:tcW w:type="dxa" w:w="5040"/>
          </w:tcPr>
          <w:p>
            <w:pPr>
              <w:spacing w:before="0" w:after="0" w:line="240" w:lineRule="auto"/>
            </w:pPr>
            <w:r>
              <w:rPr>
                <w:sz w:val="16"/>
              </w:rPr>
              <w:t>Data quality</w:t>
            </w:r>
          </w:p>
        </w:tc>
        <w:tc>
          <w:tcPr>
            <w:tcW w:type="dxa" w:w="5040"/>
          </w:tcPr>
          <w:p>
            <w:pPr>
              <w:spacing w:before="0" w:after="0" w:line="240" w:lineRule="auto"/>
            </w:pPr>
            <w:r>
              <w:rPr>
                <w:sz w:val="16"/>
              </w:rPr>
              <w:t>Warnings for missing contacts, evidence, and score models</w:t>
            </w:r>
          </w:p>
        </w:tc>
      </w:tr>
    </w:tbl>
    <w:p>
      <w:pPr>
        <w:pStyle w:val="Heading1"/>
      </w:pPr>
      <w:r>
        <w:t>4. Application Flow</w:t>
      </w:r>
    </w:p>
    <w:p>
      <w:pPr>
        <w:spacing w:after="60" w:line="240" w:lineRule="auto"/>
      </w:pPr>
      <w:r>
        <w:t>Browser or Client → Web/API Adapter → AIN-103 Profile Service → AIN-102 Scoring and Decision Service + AIN-101 Registry Service → CIR-002</w:t>
      </w:r>
    </w:p>
    <w:p>
      <w:pPr>
        <w:pStyle w:val="Heading1"/>
      </w:pPr>
      <w:r>
        <w:t>5. Readiness Model</w:t>
      </w:r>
    </w:p>
    <w:p>
      <w:pPr>
        <w:spacing w:after="60" w:line="240" w:lineRule="auto"/>
      </w:pPr>
      <w:r>
        <w:t>Profile readiness is calculated from eight explicit checks: market membership, Strategic Fit, OVS, Evidence Confidence, Relationship Strength, CCI, linked Evidence, and an open next Action. A complete profile is Ready; a partially complete profile is Developing or Incomplete.</w:t>
      </w:r>
    </w:p>
    <w:p>
      <w:pPr>
        <w:pStyle w:val="Heading1"/>
      </w:pPr>
      <w:r>
        <w:t>6. Data-Quality Controls</w:t>
      </w:r>
    </w:p>
    <w:p>
      <w:pPr>
        <w:pStyle w:val="ListBullet"/>
      </w:pPr>
      <w:r>
        <w:t>Missing website or headquarters is flagged.</w:t>
      </w:r>
    </w:p>
    <w:p>
      <w:pPr>
        <w:pStyle w:val="ListBullet"/>
      </w:pPr>
      <w:r>
        <w:t>Contact count is compared to a configurable target.</w:t>
      </w:r>
    </w:p>
    <w:p>
      <w:pPr>
        <w:pStyle w:val="ListBullet"/>
      </w:pPr>
      <w:r>
        <w:t>Evidence count is compared to a configurable target.</w:t>
      </w:r>
    </w:p>
    <w:p>
      <w:pPr>
        <w:pStyle w:val="ListBullet"/>
      </w:pPr>
      <w:r>
        <w:t>Missing required score models are listed.</w:t>
      </w:r>
    </w:p>
    <w:p>
      <w:pPr>
        <w:pStyle w:val="ListBullet"/>
      </w:pPr>
      <w:r>
        <w:t>Warnings remain visible rather than being filled by inference.</w:t>
      </w:r>
    </w:p>
    <w:p>
      <w:pPr>
        <w:pStyle w:val="Heading1"/>
      </w:pPr>
      <w:r>
        <w:t>7. CPS Energy Proof Case</w:t>
      </w:r>
    </w:p>
    <w:p>
      <w:pPr>
        <w:spacing w:after="60" w:line="240" w:lineRule="auto"/>
      </w:pPr>
      <w:r>
        <w:t>The demonstration produces a display-ready CPS Energy profile containing the organization identity, utility market membership, linked public evidence, an open Action, four component scorecards, a Commercial Confidence Index of 81.94, a Validate recommendation, readiness status, data-quality warnings, and a concise headline suitable for the future dashboard.</w:t>
      </w:r>
    </w:p>
    <w:p>
      <w:pPr>
        <w:pStyle w:val="Heading1"/>
      </w:pPr>
      <w:r>
        <w:t>8. Verification Requirements</w:t>
      </w:r>
    </w:p>
    <w:p>
      <w:pPr>
        <w:pStyle w:val="ListBullet"/>
      </w:pPr>
      <w:r>
        <w:t>AIN-103-V01 — Service health reports HEALTHY.</w:t>
      </w:r>
    </w:p>
    <w:p>
      <w:pPr>
        <w:pStyle w:val="ListBullet"/>
      </w:pPr>
      <w:r>
        <w:t>AIN-103-V02 — Organization identity and market membership are returned.</w:t>
      </w:r>
    </w:p>
    <w:p>
      <w:pPr>
        <w:pStyle w:val="ListBullet"/>
      </w:pPr>
      <w:r>
        <w:t>AIN-103-V03 — Evidence and Actions appear in the profile.</w:t>
      </w:r>
    </w:p>
    <w:p>
      <w:pPr>
        <w:pStyle w:val="ListBullet"/>
      </w:pPr>
      <w:r>
        <w:t>AIN-103-V04 — Missing scores remain explicitly Missing.</w:t>
      </w:r>
    </w:p>
    <w:p>
      <w:pPr>
        <w:pStyle w:val="ListBullet"/>
      </w:pPr>
      <w:r>
        <w:t>AIN-103-V05 — Completed scorecards create a traceable decision object.</w:t>
      </w:r>
    </w:p>
    <w:p>
      <w:pPr>
        <w:pStyle w:val="ListBullet"/>
      </w:pPr>
      <w:r>
        <w:t>AIN-103-V06 — Readiness is deterministic.</w:t>
      </w:r>
    </w:p>
    <w:p>
      <w:pPr>
        <w:pStyle w:val="ListBullet"/>
      </w:pPr>
      <w:r>
        <w:t>AIN-103-V07 — Compact cards preserve the current decision and CCI.</w:t>
      </w:r>
    </w:p>
    <w:p>
      <w:pPr>
        <w:pStyle w:val="ListBullet"/>
      </w:pPr>
      <w:r>
        <w:t>AIN-103-V08 — The complete profile is JSON-safe.</w:t>
      </w:r>
    </w:p>
    <w:p>
      <w:pPr>
        <w:pStyle w:val="ListBullet"/>
      </w:pPr>
      <w:r>
        <w:t>AIN-103-V09 — The headline traces to the current score and next Action.</w:t>
      </w:r>
    </w:p>
    <w:p>
      <w:pPr>
        <w:pStyle w:val="ListBullet"/>
      </w:pPr>
      <w:r>
        <w:t>AIN-103-V10 — Data-quality warnings identify missing contacts and evidence depth.</w:t>
      </w:r>
    </w:p>
    <w:p>
      <w:pPr>
        <w:pStyle w:val="Heading1"/>
      </w:pPr>
      <w:r>
        <w:t>9. Scope Boundary</w:t>
      </w:r>
    </w:p>
    <w:p>
      <w:pPr>
        <w:spacing w:after="60" w:line="240" w:lineRule="auto"/>
      </w:pPr>
      <w:r>
        <w:t>AIN-103 does not render HTML, expose REST routes, authenticate users, crawl websites, generate AI conclusions, calculate unapproved scores, or package Docker. Those capabilities remain separate so the profile contract stays stable and reusable.</w:t>
      </w:r>
    </w:p>
    <w:p>
      <w:pPr>
        <w:pStyle w:val="Heading1"/>
      </w:pPr>
      <w:r>
        <w:t>10. Acceptance</w:t>
      </w:r>
    </w:p>
    <w:p>
      <w:pPr>
        <w:spacing w:after="60" w:line="240" w:lineRule="auto"/>
      </w:pPr>
      <w:r>
        <w:t>AIN-103 is accepted when all automated tests pass, the CPS Energy demonstration completes, all dependent services report HEALTHY, and the same registry state produces the same structured profile content.</w:t>
      </w:r>
    </w:p>
    <w:p>
      <w:pPr>
        <w:spacing w:after="60" w:line="240" w:lineRule="auto"/>
        <w:jc w:val="center"/>
      </w:pPr>
      <w:r>
        <w:rPr>
          <w:b/>
          <w:color w:val="1F4E79"/>
        </w:rPr>
        <w:t>⚒ Strike true. Build clean. Verify everything.</w:t>
        <w:br/>
        <w:t>AI augments judgment. It does not replace evidence. Stay disciplined.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Ubuntu Sans" w:hAnsi="Ubuntu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Ubuntu Sans" w:hAnsi="Ubuntu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Ubuntu Sans" w:hAnsi="Ubuntu San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Ubuntu Sans" w:hAnsi="Ubuntu San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