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AIN-104</w:t>
        <w:br/>
        <w:t>Web Application Adapter and Organization Dashboard</w:t>
      </w:r>
    </w:p>
    <w:p>
      <w:pPr>
        <w:jc w:val="center"/>
      </w:pPr>
      <w:r>
        <w:rPr>
          <w:b/>
        </w:rPr>
        <w:t>AnchorInsight™ | Version 1.0 | Implementation 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 ID</w:t>
            </w:r>
          </w:p>
        </w:tc>
        <w:tc>
          <w:tcPr>
            <w:tcW w:type="dxa" w:w="5040"/>
          </w:tcPr>
          <w:p>
            <w:r>
              <w:t>AIN-104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AnchorInsight™</w:t>
            </w:r>
          </w:p>
        </w:tc>
      </w:tr>
      <w:tr>
        <w:tc>
          <w:tcPr>
            <w:tcW w:type="dxa" w:w="5040"/>
          </w:tcPr>
          <w:p>
            <w:r>
              <w:t>Platform</w:t>
            </w:r>
          </w:p>
        </w:tc>
        <w:tc>
          <w:tcPr>
            <w:tcW w:type="dxa" w:w="5040"/>
          </w:tcPr>
          <w:p>
            <w:r>
              <w:t>AnchorOS</w:t>
            </w:r>
          </w:p>
        </w:tc>
      </w:tr>
      <w:tr>
        <w:tc>
          <w:tcPr>
            <w:tcW w:type="dxa" w:w="5040"/>
          </w:tcPr>
          <w:p>
            <w:r>
              <w:t>Web Framework</w:t>
            </w:r>
          </w:p>
        </w:tc>
        <w:tc>
          <w:tcPr>
            <w:tcW w:type="dxa" w:w="5040"/>
          </w:tcPr>
          <w:p>
            <w:r>
              <w:t>Flask 3.1.3</w:t>
            </w:r>
          </w:p>
        </w:tc>
      </w:tr>
      <w:tr>
        <w:tc>
          <w:tcPr>
            <w:tcW w:type="dxa" w:w="5040"/>
          </w:tcPr>
          <w:p>
            <w:r>
              <w:t>Service Dependencies</w:t>
            </w:r>
          </w:p>
        </w:tc>
        <w:tc>
          <w:tcPr>
            <w:tcW w:type="dxa" w:w="5040"/>
          </w:tcPr>
          <w:p>
            <w:r>
              <w:t>AIN-103, AIN-102, AIN-101</w:t>
            </w:r>
          </w:p>
        </w:tc>
      </w:tr>
      <w:tr>
        <w:tc>
          <w:tcPr>
            <w:tcW w:type="dxa" w:w="5040"/>
          </w:tcPr>
          <w:p>
            <w:r>
              <w:t>Persistence</w:t>
            </w:r>
          </w:p>
        </w:tc>
        <w:tc>
          <w:tcPr>
            <w:tcW w:type="dxa" w:w="5040"/>
          </w:tcPr>
          <w:p>
            <w:r>
              <w:t>CIR-002</w:t>
            </w:r>
          </w:p>
        </w:tc>
      </w:tr>
    </w:tbl>
    <w:p>
      <w:pPr>
        <w:pStyle w:val="Heading1"/>
      </w:pPr>
      <w:r>
        <w:t>1. Purpose</w:t>
      </w:r>
    </w:p>
    <w:p>
      <w:r>
        <w:t>AIN-104 provides the first customer-visible AnchorInsight web application. It adapts AIN-103 organization profiles into responsive HTML and JSON routes without duplicating scoring, registry, or persistence logic.</w:t>
      </w:r>
    </w:p>
    <w:p>
      <w:pPr>
        <w:pStyle w:val="Heading1"/>
      </w:pPr>
      <w:r>
        <w:t>2. Architecture</w:t>
      </w:r>
    </w:p>
    <w:p>
      <w:r>
        <w:t>Browser → AIN-104 Web Adapter → AIN-103 Profile Service → AIN-102 Scoring Service → AIN-101 Registry Service → CIR-002 Database</w:t>
      </w:r>
    </w:p>
    <w:p>
      <w:pPr>
        <w:pStyle w:val="Heading1"/>
      </w:pPr>
      <w:r>
        <w:t>3. User Experience</w:t>
      </w:r>
    </w:p>
    <w:p>
      <w:pPr>
        <w:pStyle w:val="ListBullet"/>
      </w:pPr>
      <w:r>
        <w:t>Commercial Intelligence Command Center summary</w:t>
      </w:r>
    </w:p>
    <w:p>
      <w:pPr>
        <w:pStyle w:val="ListBullet"/>
      </w:pPr>
      <w:r>
        <w:t>Searchable and filterable organization registry</w:t>
      </w:r>
    </w:p>
    <w:p>
      <w:pPr>
        <w:pStyle w:val="ListBullet"/>
      </w:pPr>
      <w:r>
        <w:t>One-page organization intelligence dashboard</w:t>
      </w:r>
    </w:p>
    <w:p>
      <w:pPr>
        <w:pStyle w:val="ListBullet"/>
      </w:pPr>
      <w:r>
        <w:t>Commercial Confidence Index and score tiles</w:t>
      </w:r>
    </w:p>
    <w:p>
      <w:pPr>
        <w:pStyle w:val="ListBullet"/>
      </w:pPr>
      <w:r>
        <w:t>Current decision, confidence, and next justified action</w:t>
      </w:r>
    </w:p>
    <w:p>
      <w:pPr>
        <w:pStyle w:val="ListBullet"/>
      </w:pPr>
      <w:r>
        <w:t>Markets, evidence, actions, readiness, data quality, and timeline</w:t>
      </w:r>
    </w:p>
    <w:p>
      <w:pPr>
        <w:pStyle w:val="ListBullet"/>
      </w:pPr>
      <w:r>
        <w:t>Responsive desktop and mobile layout</w:t>
      </w:r>
    </w:p>
    <w:p>
      <w:pPr>
        <w:pStyle w:val="Heading1"/>
      </w:pPr>
      <w:r>
        <w:t>4. Routes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Route</w:t>
            </w:r>
          </w:p>
        </w:tc>
        <w:tc>
          <w:tcPr>
            <w:tcW w:type="dxa" w:w="3360"/>
          </w:tcPr>
          <w:p>
            <w:r>
              <w:t>Type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/</w:t>
            </w:r>
          </w:p>
        </w:tc>
        <w:tc>
          <w:tcPr>
            <w:tcW w:type="dxa" w:w="3360"/>
          </w:tcPr>
          <w:p>
            <w:r>
              <w:t>HTML</w:t>
            </w:r>
          </w:p>
        </w:tc>
        <w:tc>
          <w:tcPr>
            <w:tcW w:type="dxa" w:w="3360"/>
          </w:tcPr>
          <w:p>
            <w:r>
              <w:t>Commercial Intelligence dashboard</w:t>
            </w:r>
          </w:p>
        </w:tc>
      </w:tr>
      <w:tr>
        <w:tc>
          <w:tcPr>
            <w:tcW w:type="dxa" w:w="3360"/>
          </w:tcPr>
          <w:p>
            <w:r>
              <w:t>/organizations</w:t>
            </w:r>
          </w:p>
        </w:tc>
        <w:tc>
          <w:tcPr>
            <w:tcW w:type="dxa" w:w="3360"/>
          </w:tcPr>
          <w:p>
            <w:r>
              <w:t>HTML</w:t>
            </w:r>
          </w:p>
        </w:tc>
        <w:tc>
          <w:tcPr>
            <w:tcW w:type="dxa" w:w="3360"/>
          </w:tcPr>
          <w:p>
            <w:r>
              <w:t>Search and filter organization cards</w:t>
            </w:r>
          </w:p>
        </w:tc>
      </w:tr>
      <w:tr>
        <w:tc>
          <w:tcPr>
            <w:tcW w:type="dxa" w:w="3360"/>
          </w:tcPr>
          <w:p>
            <w:r>
              <w:t>/organizations/&lt;identifier&gt;</w:t>
            </w:r>
          </w:p>
        </w:tc>
        <w:tc>
          <w:tcPr>
            <w:tcW w:type="dxa" w:w="3360"/>
          </w:tcPr>
          <w:p>
            <w:r>
              <w:t>HTML</w:t>
            </w:r>
          </w:p>
        </w:tc>
        <w:tc>
          <w:tcPr>
            <w:tcW w:type="dxa" w:w="3360"/>
          </w:tcPr>
          <w:p>
            <w:r>
              <w:t>One-page organization profile</w:t>
            </w:r>
          </w:p>
        </w:tc>
      </w:tr>
      <w:tr>
        <w:tc>
          <w:tcPr>
            <w:tcW w:type="dxa" w:w="3360"/>
          </w:tcPr>
          <w:p>
            <w:r>
              <w:t>/api/health</w:t>
            </w:r>
          </w:p>
        </w:tc>
        <w:tc>
          <w:tcPr>
            <w:tcW w:type="dxa" w:w="3360"/>
          </w:tcPr>
          <w:p>
            <w:r>
              <w:t>JSON</w:t>
            </w:r>
          </w:p>
        </w:tc>
        <w:tc>
          <w:tcPr>
            <w:tcW w:type="dxa" w:w="3360"/>
          </w:tcPr>
          <w:p>
            <w:r>
              <w:t>Web and dependent service health</w:t>
            </w:r>
          </w:p>
        </w:tc>
      </w:tr>
      <w:tr>
        <w:tc>
          <w:tcPr>
            <w:tcW w:type="dxa" w:w="3360"/>
          </w:tcPr>
          <w:p>
            <w:r>
              <w:t>/api/organizations</w:t>
            </w:r>
          </w:p>
        </w:tc>
        <w:tc>
          <w:tcPr>
            <w:tcW w:type="dxa" w:w="3360"/>
          </w:tcPr>
          <w:p>
            <w:r>
              <w:t>JSON</w:t>
            </w:r>
          </w:p>
        </w:tc>
        <w:tc>
          <w:tcPr>
            <w:tcW w:type="dxa" w:w="3360"/>
          </w:tcPr>
          <w:p>
            <w:r>
              <w:t>Compact organization collection</w:t>
            </w:r>
          </w:p>
        </w:tc>
      </w:tr>
      <w:tr>
        <w:tc>
          <w:tcPr>
            <w:tcW w:type="dxa" w:w="3360"/>
          </w:tcPr>
          <w:p>
            <w:r>
              <w:t>/api/organizations/&lt;identifier&gt;</w:t>
            </w:r>
          </w:p>
        </w:tc>
        <w:tc>
          <w:tcPr>
            <w:tcW w:type="dxa" w:w="3360"/>
          </w:tcPr>
          <w:p>
            <w:r>
              <w:t>JSON</w:t>
            </w:r>
          </w:p>
        </w:tc>
        <w:tc>
          <w:tcPr>
            <w:tcW w:type="dxa" w:w="3360"/>
          </w:tcPr>
          <w:p>
            <w:r>
              <w:t>Complete organization profile</w:t>
            </w:r>
          </w:p>
        </w:tc>
      </w:tr>
    </w:tbl>
    <w:p>
      <w:pPr>
        <w:pStyle w:val="Heading1"/>
      </w:pPr>
      <w:r>
        <w:t>5. Presentation Boundary</w:t>
      </w:r>
    </w:p>
    <w:p>
      <w:pPr>
        <w:pStyle w:val="ListBullet"/>
      </w:pPr>
      <w:r>
        <w:t>Templates SHALL contain no raw SQL.</w:t>
      </w:r>
    </w:p>
    <w:p>
      <w:pPr>
        <w:pStyle w:val="ListBullet"/>
      </w:pPr>
      <w:r>
        <w:t>Templates SHALL not calculate score models or decisions.</w:t>
      </w:r>
    </w:p>
    <w:p>
      <w:pPr>
        <w:pStyle w:val="ListBullet"/>
      </w:pPr>
      <w:r>
        <w:t>Missing information SHALL remain visible.</w:t>
      </w:r>
    </w:p>
    <w:p>
      <w:pPr>
        <w:pStyle w:val="ListBullet"/>
      </w:pPr>
      <w:r>
        <w:t>The profile JSON contract remains the source for both HTML and API output.</w:t>
      </w:r>
    </w:p>
    <w:p>
      <w:pPr>
        <w:pStyle w:val="ListBullet"/>
      </w:pPr>
      <w:r>
        <w:t>The website SHALL remain replaceable without rewriting business logic.</w:t>
      </w:r>
    </w:p>
    <w:p>
      <w:pPr>
        <w:pStyle w:val="Heading1"/>
      </w:pPr>
      <w:r>
        <w:t>6. Visual System</w:t>
      </w:r>
    </w:p>
    <w:p>
      <w:r>
        <w:t>The interface uses a dark enterprise visual system aligned with the AnchorInsight chrome-and-blue brand: navy surfaces, metallic neutrals, electric blue highlights, clear status badges, large confidence metrics, and compact evidence/action panels.</w:t>
      </w:r>
    </w:p>
    <w:p>
      <w:pPr>
        <w:pStyle w:val="Heading1"/>
      </w:pPr>
      <w:r>
        <w:t>7. Verification Requirements</w:t>
      </w:r>
    </w:p>
    <w:p>
      <w:pPr>
        <w:pStyle w:val="ListBullet"/>
      </w:pPr>
      <w:r>
        <w:t>AIN-104-V01 — Dashboard renders successfully.</w:t>
      </w:r>
    </w:p>
    <w:p>
      <w:pPr>
        <w:pStyle w:val="ListBullet"/>
      </w:pPr>
      <w:r>
        <w:t>AIN-104-V02 — Organization registry renders CPS Energy.</w:t>
      </w:r>
    </w:p>
    <w:p>
      <w:pPr>
        <w:pStyle w:val="ListBullet"/>
      </w:pPr>
      <w:r>
        <w:t>AIN-104-V03 — Organization profile renders the CCI and next action.</w:t>
      </w:r>
    </w:p>
    <w:p>
      <w:pPr>
        <w:pStyle w:val="ListBullet"/>
      </w:pPr>
      <w:r>
        <w:t>AIN-104-V04 — Missing organization returns HTTP 404.</w:t>
      </w:r>
    </w:p>
    <w:p>
      <w:pPr>
        <w:pStyle w:val="ListBullet"/>
      </w:pPr>
      <w:r>
        <w:t>AIN-104-V05 — Health API reports HEALTHY.</w:t>
      </w:r>
    </w:p>
    <w:p>
      <w:pPr>
        <w:pStyle w:val="ListBullet"/>
      </w:pPr>
      <w:r>
        <w:t>AIN-104-V06 — Organization collection API returns compact cards.</w:t>
      </w:r>
    </w:p>
    <w:p>
      <w:pPr>
        <w:pStyle w:val="ListBullet"/>
      </w:pPr>
      <w:r>
        <w:t>AIN-104-V07 — Organization profile API returns the complete AIN-103 object.</w:t>
      </w:r>
    </w:p>
    <w:p>
      <w:pPr>
        <w:pStyle w:val="ListBullet"/>
      </w:pPr>
      <w:r>
        <w:t>AIN-104-V08 — Search filters organizations.</w:t>
      </w:r>
    </w:p>
    <w:p>
      <w:pPr>
        <w:pStyle w:val="ListBullet"/>
      </w:pPr>
      <w:r>
        <w:t>AIN-104-V09 — Static CSS is served.</w:t>
      </w:r>
    </w:p>
    <w:p>
      <w:pPr>
        <w:pStyle w:val="Heading1"/>
      </w:pPr>
      <w:r>
        <w:t>8. Security Boundary</w:t>
      </w:r>
    </w:p>
    <w:p>
      <w:r>
        <w:t>AIN-104 is read-only for Version 1. Authentication, authorization, CSRF protection, browser-based writes, production TLS, and secure session management must be added before customer deployment.</w:t>
      </w:r>
    </w:p>
    <w:p>
      <w:pPr>
        <w:pStyle w:val="Heading1"/>
      </w:pPr>
      <w:r>
        <w:t>9. Acceptance</w:t>
      </w:r>
    </w:p>
    <w:p>
      <w:r>
        <w:t>AIN-104 is accepted when all automated tests pass, the seeded CPS Energy dashboard renders locally, all APIs return valid JSON, and dependent services remain HEALTHY.</w:t>
      </w:r>
    </w:p>
    <w:p>
      <w:pPr>
        <w:jc w:val="center"/>
      </w:pPr>
      <w:r>
        <w:rPr>
          <w:b/>
          <w:color w:val="1F4E79"/>
        </w:rPr>
        <w:t>⚒ Strike true. Build clean. Verify everything.</w:t>
        <w:br/>
        <w:t>AI augments judgment. It does not replace evidence. Stay disciplined.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 Sans" w:hAnsi="Ubuntu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Ubuntu Sans" w:hAnsi="Ubuntu San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Ubuntu Sans" w:hAnsi="Ubuntu San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Ubuntu Sans" w:hAnsi="Ubuntu San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