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8" w:before="157" w:after="157"/>
        <w:jc w:val="left"/>
        <w:rPr/>
      </w:pPr>
      <w:r>
        <w:rPr>
          <w:rFonts w:eastAsia="inter" w:cs="inter" w:ascii="inter" w:hAnsi="inter"/>
          <w:b/>
          <w:color w:val="000000"/>
          <w:sz w:val="39"/>
        </w:rPr>
        <w:t>Book Outline: Building a Personal Learning Plan: Designing Your Own Education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Introduction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The Power and Promise of Self-Directed Learning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The Need for Personalized Education in a Changing World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Who This Book is For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to Use This Book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Part I: Foundations of Self-Designed Learning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1. Why Design Your Own Education?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The Shortcomings of Traditional Approaches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The Rise of Personalized and Lifelong Learning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Success Stories: Self-Directed Learners Who Changed the World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2. Understanding Yourself as a Learner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Assessing Strengths, Weaknesses, and Learning Styles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Identifying Interests, Values, and Motivations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Setting Personal and Professional Goals</w:t>
      </w:r>
      <w:hyperlink w:anchor="fn1">
        <w:bookmarkStart w:id="0" w:name="fnref1"/>
        <w:bookmarkEnd w:id="0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[1]</w:t>
        </w:r>
      </w:hyperlink>
      <w:hyperlink w:anchor="fn2">
        <w:bookmarkStart w:id="1" w:name="fnref2"/>
        <w:bookmarkEnd w:id="1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[2]</w:t>
        </w:r>
      </w:hyperlink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3. The Principles of Effective Learning Plans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Clarity, Motivation, Relevance, and Flexibility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The Science of Goal Setting (SMART Goals)</w:t>
      </w:r>
      <w:hyperlink w:anchor="fn3">
        <w:bookmarkStart w:id="2" w:name="fnref3"/>
        <w:bookmarkEnd w:id="2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[3]</w:t>
        </w:r>
      </w:hyperlink>
      <w:hyperlink w:anchor="fn2">
        <w:bookmarkStart w:id="3" w:name="fnref2%3A1"/>
        <w:bookmarkEnd w:id="3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[2]</w:t>
        </w:r>
      </w:hyperlink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Continuous Reflection and Iteration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Part II: Crafting Your Personal Learning Blueprint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4. Defining Your Learning Vision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Drafting a Personal Mission Statement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Identifying Big-Picture Outcomes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Aligning Learning with Life Goals</w:t>
      </w:r>
      <w:hyperlink w:anchor="fn4">
        <w:bookmarkStart w:id="4" w:name="fnref4"/>
        <w:bookmarkEnd w:id="4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[4]</w:t>
        </w:r>
      </w:hyperlink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5. Mapping Your Destination</w:t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Establishing Short-term and Long-term Goals</w:t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Breaking Down Ambitious Goals into Milestones</w:t>
      </w:r>
      <w:hyperlink w:anchor="fn3">
        <w:bookmarkStart w:id="5" w:name="fnref3%3A1"/>
        <w:bookmarkEnd w:id="5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[3]</w:t>
        </w:r>
      </w:hyperlink>
      <w:hyperlink w:anchor="fn1">
        <w:bookmarkStart w:id="6" w:name="fnref1%3A1"/>
        <w:bookmarkEnd w:id="6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[1]</w:t>
        </w:r>
      </w:hyperlink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Prioritization Techniques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6. Exploring Learning Pathways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Formal vs. Informal Education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Self-paced Courses, Workshops, and Online Learning</w:t>
      </w:r>
      <w:hyperlink w:anchor="fn1">
        <w:bookmarkStart w:id="7" w:name="fnref1%3A2"/>
        <w:bookmarkEnd w:id="7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[1]</w:t>
        </w:r>
      </w:hyperlink>
      <w:hyperlink w:anchor="fn5">
        <w:bookmarkStart w:id="8" w:name="fnref5"/>
        <w:bookmarkEnd w:id="8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[5]</w:t>
        </w:r>
      </w:hyperlink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Mentorship, Peer Learning, and Communities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Experiential and Project-Based Learning</w:t>
      </w:r>
      <w:hyperlink w:anchor="fn6">
        <w:bookmarkStart w:id="9" w:name="fnref6"/>
        <w:bookmarkEnd w:id="9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[6]</w:t>
        </w:r>
      </w:hyperlink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7. Designing a Curriculum from Scratch</w:t>
      </w:r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Selecting Resources: Books, Courses, Media, and People</w:t>
      </w:r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Benchmarking with External Standards (where useful)</w:t>
      </w:r>
      <w:hyperlink w:anchor="fn7">
        <w:bookmarkStart w:id="10" w:name="fnref7"/>
        <w:bookmarkEnd w:id="10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[7]</w:t>
        </w:r>
      </w:hyperlink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Creating Assignments and Assessments for Yourself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Part III: Action Plan—From Blueprint to Practice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8. Scheduling and Structure</w:t>
      </w:r>
    </w:p>
    <w:p>
      <w:pPr>
        <w:pStyle w:val="Normal"/>
        <w:numPr>
          <w:ilvl w:val="0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Creating Realistic Learning Schedules</w:t>
      </w:r>
      <w:hyperlink w:anchor="fn2">
        <w:bookmarkStart w:id="11" w:name="fnref2%3A2"/>
        <w:bookmarkEnd w:id="11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[2]</w:t>
        </w:r>
      </w:hyperlink>
    </w:p>
    <w:p>
      <w:pPr>
        <w:pStyle w:val="Normal"/>
        <w:numPr>
          <w:ilvl w:val="0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Balancing Depth, Breadth, and Flexibility</w:t>
      </w:r>
    </w:p>
    <w:p>
      <w:pPr>
        <w:pStyle w:val="Normal"/>
        <w:numPr>
          <w:ilvl w:val="0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Tools and Techniques for Time and Progress Management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9. Personalizing the Learning Experience</w:t>
      </w:r>
    </w:p>
    <w:p>
      <w:pPr>
        <w:pStyle w:val="Normal"/>
        <w:numPr>
          <w:ilvl w:val="0"/>
          <w:numId w:val="1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Choosing Learning Modalities that Fit You</w:t>
      </w:r>
      <w:hyperlink w:anchor="fn8">
        <w:bookmarkStart w:id="12" w:name="fnref8"/>
        <w:bookmarkEnd w:id="12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[8]</w:t>
        </w:r>
      </w:hyperlink>
      <w:hyperlink w:anchor="fn6">
        <w:bookmarkStart w:id="13" w:name="fnref6%3A1"/>
        <w:bookmarkEnd w:id="13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[6]</w:t>
        </w:r>
      </w:hyperlink>
    </w:p>
    <w:p>
      <w:pPr>
        <w:pStyle w:val="Normal"/>
        <w:numPr>
          <w:ilvl w:val="0"/>
          <w:numId w:val="1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Using Choice Boards, Playlists, and Custom Projects</w:t>
      </w:r>
      <w:hyperlink w:anchor="fn6">
        <w:bookmarkStart w:id="14" w:name="fnref6%3A2"/>
        <w:bookmarkEnd w:id="14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[6]</w:t>
        </w:r>
      </w:hyperlink>
    </w:p>
    <w:p>
      <w:pPr>
        <w:pStyle w:val="Normal"/>
        <w:numPr>
          <w:ilvl w:val="0"/>
          <w:numId w:val="1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Incorporating Reflection: Journals, Portfolios, and Logs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10. Building Support Systems</w:t>
      </w:r>
    </w:p>
    <w:p>
      <w:pPr>
        <w:pStyle w:val="Normal"/>
        <w:numPr>
          <w:ilvl w:val="0"/>
          <w:numId w:val="1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Cultivating Accountability Partners or Groups</w:t>
      </w:r>
    </w:p>
    <w:p>
      <w:pPr>
        <w:pStyle w:val="Normal"/>
        <w:numPr>
          <w:ilvl w:val="0"/>
          <w:numId w:val="1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Using Mentors, Coaches, and Online Communities</w:t>
      </w:r>
      <w:hyperlink w:anchor="fn9">
        <w:bookmarkStart w:id="15" w:name="fnref9"/>
        <w:bookmarkEnd w:id="15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[9]</w:t>
        </w:r>
      </w:hyperlink>
    </w:p>
    <w:p>
      <w:pPr>
        <w:pStyle w:val="Normal"/>
        <w:numPr>
          <w:ilvl w:val="0"/>
          <w:numId w:val="1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Managing Feedback and Peer Reviews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Part IV: Navigating the Journey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11. Habits of Highly Effective Self-Learners</w:t>
      </w:r>
    </w:p>
    <w:p>
      <w:pPr>
        <w:pStyle w:val="Normal"/>
        <w:numPr>
          <w:ilvl w:val="0"/>
          <w:numId w:val="1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Consistency, Curiosity, and Growth Mindset</w:t>
      </w:r>
    </w:p>
    <w:p>
      <w:pPr>
        <w:pStyle w:val="Normal"/>
        <w:numPr>
          <w:ilvl w:val="0"/>
          <w:numId w:val="1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Building Routines for Deep Work and Play</w:t>
      </w:r>
    </w:p>
    <w:p>
      <w:pPr>
        <w:pStyle w:val="Normal"/>
        <w:numPr>
          <w:ilvl w:val="0"/>
          <w:numId w:val="1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Harnessing the Power of Micro-Learning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12. Overcoming Barriers</w:t>
      </w:r>
    </w:p>
    <w:p>
      <w:pPr>
        <w:pStyle w:val="Normal"/>
        <w:numPr>
          <w:ilvl w:val="0"/>
          <w:numId w:val="1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Dealing with Procrastination and Distraction</w:t>
      </w:r>
    </w:p>
    <w:p>
      <w:pPr>
        <w:pStyle w:val="Normal"/>
        <w:numPr>
          <w:ilvl w:val="0"/>
          <w:numId w:val="1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Reframing Failure and Navigating Stuck Moments</w:t>
      </w:r>
    </w:p>
    <w:p>
      <w:pPr>
        <w:pStyle w:val="Normal"/>
        <w:numPr>
          <w:ilvl w:val="0"/>
          <w:numId w:val="1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Adjusting Plans in Response to Life Changes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13. Evaluating Progress and Success</w:t>
      </w:r>
    </w:p>
    <w:p>
      <w:pPr>
        <w:pStyle w:val="Normal"/>
        <w:numPr>
          <w:ilvl w:val="0"/>
          <w:numId w:val="1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Self-assessment Models and Rubrics</w:t>
      </w:r>
      <w:hyperlink w:anchor="fn10">
        <w:bookmarkStart w:id="16" w:name="fnref10"/>
        <w:bookmarkEnd w:id="16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[10]</w:t>
        </w:r>
      </w:hyperlink>
    </w:p>
    <w:p>
      <w:pPr>
        <w:pStyle w:val="Normal"/>
        <w:numPr>
          <w:ilvl w:val="0"/>
          <w:numId w:val="1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Seeking External Validation: Certifications/Badges (if needed)</w:t>
      </w:r>
    </w:p>
    <w:p>
      <w:pPr>
        <w:pStyle w:val="Normal"/>
        <w:numPr>
          <w:ilvl w:val="0"/>
          <w:numId w:val="1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Celebrating Achievements and Marking Milestones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Part V: Advanced Strategies for Lifelong Learners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14. Harnessing Technology for Personalized Learning</w:t>
      </w:r>
    </w:p>
    <w:p>
      <w:pPr>
        <w:pStyle w:val="Normal"/>
        <w:numPr>
          <w:ilvl w:val="0"/>
          <w:numId w:val="1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Using Learning Management Systems and Apps</w:t>
      </w:r>
      <w:hyperlink w:anchor="fn5">
        <w:bookmarkStart w:id="17" w:name="fnref5%3A1"/>
        <w:bookmarkEnd w:id="17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[5]</w:t>
        </w:r>
      </w:hyperlink>
    </w:p>
    <w:p>
      <w:pPr>
        <w:pStyle w:val="Normal"/>
        <w:numPr>
          <w:ilvl w:val="0"/>
          <w:numId w:val="1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Finding Digital Communities and Networks</w:t>
      </w:r>
    </w:p>
    <w:p>
      <w:pPr>
        <w:pStyle w:val="Normal"/>
        <w:numPr>
          <w:ilvl w:val="0"/>
          <w:numId w:val="1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Leveraging AI and Adaptive Learning Tools</w:t>
      </w:r>
      <w:hyperlink w:anchor="fn9">
        <w:bookmarkStart w:id="18" w:name="fnref9%3A1"/>
        <w:bookmarkEnd w:id="18"/>
        <w:r>
          <w:rPr>
            <w:rStyle w:val="ListLabel24"/>
            <w:rFonts w:eastAsia="inter" w:cs="inter" w:ascii="inter" w:hAnsi="inter"/>
            <w:color w:val="auto"/>
            <w:sz w:val="21"/>
            <w:u w:val="single"/>
            <w:vertAlign w:val="superscript"/>
          </w:rPr>
          <w:t>[9]</w:t>
        </w:r>
      </w:hyperlink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15. Learning from the World</w:t>
      </w:r>
    </w:p>
    <w:p>
      <w:pPr>
        <w:pStyle w:val="Normal"/>
        <w:numPr>
          <w:ilvl w:val="0"/>
          <w:numId w:val="1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Experiential and Travel-Based Learning</w:t>
      </w:r>
    </w:p>
    <w:p>
      <w:pPr>
        <w:pStyle w:val="Normal"/>
        <w:numPr>
          <w:ilvl w:val="0"/>
          <w:numId w:val="1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Volunteering, Internships, and Real-World Projects</w:t>
      </w:r>
    </w:p>
    <w:p>
      <w:pPr>
        <w:pStyle w:val="Normal"/>
        <w:numPr>
          <w:ilvl w:val="0"/>
          <w:numId w:val="1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The Value of Cross-disciplinary and Intercultural Learning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16. Teaching and Sharing as Learning</w:t>
      </w:r>
    </w:p>
    <w:p>
      <w:pPr>
        <w:pStyle w:val="Normal"/>
        <w:numPr>
          <w:ilvl w:val="0"/>
          <w:numId w:val="1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The Benefits of Peer-to-Peer Teaching</w:t>
      </w:r>
    </w:p>
    <w:p>
      <w:pPr>
        <w:pStyle w:val="Normal"/>
        <w:numPr>
          <w:ilvl w:val="0"/>
          <w:numId w:val="1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Creating Content: Blogs, Podcasts, and Presentations</w:t>
      </w:r>
    </w:p>
    <w:p>
      <w:pPr>
        <w:pStyle w:val="Normal"/>
        <w:numPr>
          <w:ilvl w:val="0"/>
          <w:numId w:val="1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Mentoring Others and Giving Back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Part VI: Case Studies and Templates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17. Inspiring Learning Journeys</w:t>
      </w:r>
    </w:p>
    <w:p>
      <w:pPr>
        <w:pStyle w:val="Normal"/>
        <w:numPr>
          <w:ilvl w:val="0"/>
          <w:numId w:val="1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In-depth Profiles of Successful Self-Directed Learners</w:t>
      </w:r>
    </w:p>
    <w:p>
      <w:pPr>
        <w:pStyle w:val="Normal"/>
        <w:numPr>
          <w:ilvl w:val="0"/>
          <w:numId w:val="1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Lessons Learned and Mistakes to Avoid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18. Sample Personal Learning Plans</w:t>
      </w:r>
    </w:p>
    <w:p>
      <w:pPr>
        <w:pStyle w:val="Normal"/>
        <w:numPr>
          <w:ilvl w:val="0"/>
          <w:numId w:val="1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For Career Changers</w:t>
      </w:r>
    </w:p>
    <w:p>
      <w:pPr>
        <w:pStyle w:val="Normal"/>
        <w:numPr>
          <w:ilvl w:val="0"/>
          <w:numId w:val="1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For Students and Lifelong Learners</w:t>
      </w:r>
    </w:p>
    <w:p>
      <w:pPr>
        <w:pStyle w:val="Normal"/>
        <w:numPr>
          <w:ilvl w:val="0"/>
          <w:numId w:val="1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For Homeschoolers</w:t>
      </w:r>
    </w:p>
    <w:p>
      <w:pPr>
        <w:pStyle w:val="Normal"/>
        <w:numPr>
          <w:ilvl w:val="0"/>
          <w:numId w:val="1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For Skill Mastery and Creative Pursuits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19. Templates and Worksheets</w:t>
      </w:r>
    </w:p>
    <w:p>
      <w:pPr>
        <w:pStyle w:val="Normal"/>
        <w:numPr>
          <w:ilvl w:val="0"/>
          <w:numId w:val="2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Goal Planning and Reflection Sheets</w:t>
      </w:r>
    </w:p>
    <w:p>
      <w:pPr>
        <w:pStyle w:val="Normal"/>
        <w:numPr>
          <w:ilvl w:val="0"/>
          <w:numId w:val="2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Weekly and Monthly Learning Logs</w:t>
      </w:r>
    </w:p>
    <w:p>
      <w:pPr>
        <w:pStyle w:val="Normal"/>
        <w:numPr>
          <w:ilvl w:val="0"/>
          <w:numId w:val="2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Progress Tracking Calendars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Conclusion</w:t>
      </w:r>
    </w:p>
    <w:p>
      <w:pPr>
        <w:pStyle w:val="Normal"/>
        <w:numPr>
          <w:ilvl w:val="0"/>
          <w:numId w:val="2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The Evolving Nature of Education and Your Place in It</w:t>
      </w:r>
    </w:p>
    <w:p>
      <w:pPr>
        <w:pStyle w:val="Normal"/>
        <w:numPr>
          <w:ilvl w:val="0"/>
          <w:numId w:val="2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Staying Curious and Adaptable Over a Lifetime</w:t>
      </w:r>
    </w:p>
    <w:p>
      <w:pPr>
        <w:pStyle w:val="Normal"/>
        <w:numPr>
          <w:ilvl w:val="0"/>
          <w:numId w:val="2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Your Next Steps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Appendices</w:t>
      </w:r>
    </w:p>
    <w:p>
      <w:pPr>
        <w:pStyle w:val="Normal"/>
        <w:numPr>
          <w:ilvl w:val="0"/>
          <w:numId w:val="2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Annotated Resource List (Books, Websites, Tools)</w:t>
      </w:r>
    </w:p>
    <w:p>
      <w:pPr>
        <w:pStyle w:val="Normal"/>
        <w:numPr>
          <w:ilvl w:val="0"/>
          <w:numId w:val="2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Further Reading on Personalized Learning</w:t>
      </w:r>
    </w:p>
    <w:p>
      <w:pPr>
        <w:pStyle w:val="Normal"/>
        <w:numPr>
          <w:ilvl w:val="0"/>
          <w:numId w:val="2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Glossary of Terms</w:t>
      </w:r>
    </w:p>
    <w:p>
      <w:pPr>
        <w:pStyle w:val="Normal"/>
        <w:numPr>
          <w:ilvl w:val="0"/>
          <w:numId w:val="2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Index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Sample Chapter Breakdown (For 70,000 words)</w:t>
      </w:r>
    </w:p>
    <w:tbl>
      <w:tblPr>
        <w:tblStyle w:val="TableGrid"/>
        <w:tblW w:w="9513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378"/>
        <w:gridCol w:w="2378"/>
        <w:gridCol w:w="2378"/>
        <w:gridCol w:w="2378"/>
      </w:tblGrid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Section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Chapters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Approx. Words per Chapter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Total Words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Introduction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2,500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2,500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Part I: Foundations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3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4,000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12,000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Part II: Blueprint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4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4,000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16,000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Part III: Action Plan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3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4,000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12,000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Part IV: Navigating the Journey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3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4,500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13,500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Part V: Advanced Strategies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3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3,500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10,500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Part VI: Case Studies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3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1,750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5,250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Conclusion &amp; Appendices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2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4,125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8,250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TOTAL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19 + 3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b/>
                <w:color w:val="000000"/>
                <w:kern w:val="0"/>
                <w:sz w:val="17"/>
              </w:rPr>
              <w:t>70,000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Note:</w:t>
      </w:r>
      <w:r>
        <w:rPr>
          <w:rFonts w:eastAsia="inter" w:cs="inter" w:ascii="inter" w:hAnsi="inter"/>
          <w:color w:val="000000"/>
        </w:rPr>
        <w:t xml:space="preserve"> Each main part and chapter can be further divided into detailed, actionable subsections and bulleted lists for readability and depth. This structure provides a comprehensive guide for anyone interested in designing and implementing their own lifelong learning plan</w:t>
      </w:r>
      <w:hyperlink w:anchor="fn3">
        <w:bookmarkStart w:id="19" w:name="fnref3%3A2"/>
        <w:bookmarkEnd w:id="19"/>
        <w:r>
          <w:rPr>
            <w:rStyle w:val="ListLabel25"/>
            <w:rFonts w:eastAsia="inter" w:cs="inter" w:ascii="inter" w:hAnsi="inter"/>
            <w:color w:val="auto"/>
            <w:u w:val="single"/>
            <w:vertAlign w:val="superscript"/>
          </w:rPr>
          <w:t>[3]</w:t>
        </w:r>
      </w:hyperlink>
      <w:hyperlink w:anchor="fn1">
        <w:bookmarkStart w:id="20" w:name="fnref1%3A3"/>
        <w:bookmarkEnd w:id="20"/>
        <w:r>
          <w:rPr>
            <w:rStyle w:val="ListLabel25"/>
            <w:rFonts w:eastAsia="inter" w:cs="inter" w:ascii="inter" w:hAnsi="inter"/>
            <w:color w:val="auto"/>
            <w:u w:val="single"/>
            <w:vertAlign w:val="superscript"/>
          </w:rPr>
          <w:t>[1]</w:t>
        </w:r>
      </w:hyperlink>
      <w:hyperlink w:anchor="fn5">
        <w:bookmarkStart w:id="21" w:name="fnref5%3A2"/>
        <w:bookmarkEnd w:id="21"/>
        <w:r>
          <w:rPr>
            <w:rStyle w:val="ListLabel25"/>
            <w:rFonts w:eastAsia="inter" w:cs="inter" w:ascii="inter" w:hAnsi="inter"/>
            <w:color w:val="auto"/>
            <w:u w:val="single"/>
            <w:vertAlign w:val="superscript"/>
          </w:rPr>
          <w:t>[5]</w:t>
        </w:r>
      </w:hyperlink>
      <w:hyperlink w:anchor="fn8">
        <w:bookmarkStart w:id="22" w:name="fnref8%3A1"/>
        <w:bookmarkEnd w:id="22"/>
        <w:r>
          <w:rPr>
            <w:rStyle w:val="ListLabel25"/>
            <w:rFonts w:eastAsia="inter" w:cs="inter" w:ascii="inter" w:hAnsi="inter"/>
            <w:color w:val="auto"/>
            <w:u w:val="single"/>
            <w:vertAlign w:val="superscript"/>
          </w:rPr>
          <w:t>[8]</w:t>
        </w:r>
      </w:hyperlink>
      <w:hyperlink w:anchor="fn6">
        <w:bookmarkStart w:id="23" w:name="fnref6%3A3"/>
        <w:bookmarkEnd w:id="23"/>
        <w:r>
          <w:rPr>
            <w:rStyle w:val="ListLabel25"/>
            <w:rFonts w:eastAsia="inter" w:cs="inter" w:ascii="inter" w:hAnsi="inter"/>
            <w:color w:val="auto"/>
            <w:u w:val="single"/>
            <w:vertAlign w:val="superscript"/>
          </w:rPr>
          <w:t>[6]</w:t>
        </w:r>
      </w:hyperlink>
      <w:hyperlink w:anchor="fn2">
        <w:bookmarkStart w:id="24" w:name="fnref2%3A3"/>
        <w:bookmarkEnd w:id="24"/>
        <w:r>
          <w:rPr>
            <w:rStyle w:val="ListLabel25"/>
            <w:rFonts w:eastAsia="inter" w:cs="inter" w:ascii="inter" w:hAnsi="inter"/>
            <w:color w:val="auto"/>
            <w:u w:val="single"/>
            <w:vertAlign w:val="superscript"/>
          </w:rPr>
          <w:t>[2]</w:t>
        </w:r>
      </w:hyperlink>
      <w:hyperlink w:anchor="fn9">
        <w:bookmarkStart w:id="25" w:name="fnref9%3A2"/>
        <w:bookmarkEnd w:id="25"/>
        <w:r>
          <w:rPr>
            <w:rStyle w:val="ListLabel25"/>
            <w:rFonts w:eastAsia="inter" w:cs="inter" w:ascii="inter" w:hAnsi="inter"/>
            <w:color w:val="auto"/>
            <w:u w:val="single"/>
            <w:vertAlign w:val="superscript"/>
          </w:rPr>
          <w:t>[9]</w:t>
        </w:r>
      </w:hyperlink>
      <w:hyperlink w:anchor="fn10">
        <w:bookmarkStart w:id="26" w:name="fnref10%3A1"/>
        <w:bookmarkEnd w:id="26"/>
        <w:r>
          <w:rPr>
            <w:rStyle w:val="ListLabel25"/>
            <w:rFonts w:eastAsia="inter" w:cs="inter" w:ascii="inter" w:hAnsi="inter"/>
            <w:color w:val="auto"/>
            <w:u w:val="single"/>
            <w:vertAlign w:val="superscript"/>
          </w:rPr>
          <w:t>[10]</w:t>
        </w:r>
      </w:hyperlink>
      <w:hyperlink w:anchor="fn4">
        <w:bookmarkStart w:id="27" w:name="fnref4%3A1"/>
        <w:bookmarkEnd w:id="27"/>
        <w:r>
          <w:rPr>
            <w:rStyle w:val="ListLabel25"/>
            <w:rFonts w:eastAsia="inter" w:cs="inter" w:ascii="inter" w:hAnsi="inter"/>
            <w:color w:val="auto"/>
            <w:u w:val="single"/>
            <w:vertAlign w:val="superscript"/>
          </w:rPr>
          <w:t>[4]</w:t>
        </w:r>
      </w:hyperlink>
      <w:r>
        <w:rPr>
          <w:rFonts w:eastAsia="inter" w:cs="inter" w:ascii="inter" w:hAnsi="inter"/>
          <w:color w:val="000000"/>
        </w:rPr>
        <w:t>.</w:t>
      </w:r>
    </w:p>
    <w:p>
      <w:pPr>
        <w:pStyle w:val="Normal"/>
        <w:spacing w:lineRule="auto" w:line="360"/>
        <w:jc w:val="center"/>
        <w:rPr/>
      </w:pPr>
      <w:r>
        <w:rPr>
          <w:rFonts w:eastAsia="inter" w:cs="inter" w:ascii="inter" w:hAnsi="inter"/>
          <w:color w:val="000000"/>
        </w:rPr>
        <w:t>⁂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bookmarkStart w:id="28" w:name="fn1"/>
    </w:p>
    <w:p>
      <w:pPr>
        <w:pStyle w:val="Normal"/>
        <w:numPr>
          <w:ilvl w:val="0"/>
          <w:numId w:val="23"/>
        </w:numPr>
        <w:spacing w:lineRule="auto" w:line="360" w:before="0" w:after="210"/>
        <w:rPr/>
      </w:pPr>
      <w:hyperlink r:id="rId2">
        <w:bookmarkEnd w:id="28"/>
        <w:r>
          <w:rPr>
            <w:rStyle w:val="ListLabel26"/>
            <w:rFonts w:eastAsia="inter" w:cs="inter" w:ascii="inter" w:hAnsi="inter"/>
            <w:color w:val="auto"/>
            <w:sz w:val="18"/>
            <w:u w:val="single"/>
          </w:rPr>
          <w:t>https://judicial.mc.edu/10-expert-ways-to-design-your-perfect-education-journey-today</w:t>
        </w:r>
      </w:hyperlink>
      <w:r>
        <w:rPr>
          <w:rFonts w:eastAsia="inter" w:cs="inter" w:ascii="inter" w:hAnsi="inter"/>
          <w:color w:val="000000"/>
          <w:sz w:val="18"/>
        </w:rPr>
        <w:t xml:space="preserve">    </w:t>
      </w:r>
      <w:bookmarkStart w:id="29" w:name="fn2"/>
    </w:p>
    <w:p>
      <w:pPr>
        <w:pStyle w:val="Normal"/>
        <w:numPr>
          <w:ilvl w:val="0"/>
          <w:numId w:val="23"/>
        </w:numPr>
        <w:spacing w:lineRule="auto" w:line="360" w:before="0" w:after="210"/>
        <w:rPr/>
      </w:pPr>
      <w:hyperlink r:id="rId3">
        <w:bookmarkEnd w:id="29"/>
        <w:r>
          <w:rPr>
            <w:rStyle w:val="ListLabel26"/>
            <w:rFonts w:eastAsia="inter" w:cs="inter" w:ascii="inter" w:hAnsi="inter"/>
            <w:color w:val="auto"/>
            <w:sz w:val="18"/>
            <w:u w:val="single"/>
          </w:rPr>
          <w:t>https://www.diygenius.com/how-to-create-a-self-directed-learning-plan/</w:t>
        </w:r>
      </w:hyperlink>
      <w:r>
        <w:rPr>
          <w:rFonts w:eastAsia="inter" w:cs="inter" w:ascii="inter" w:hAnsi="inter"/>
          <w:color w:val="000000"/>
          <w:sz w:val="18"/>
        </w:rPr>
        <w:t xml:space="preserve">    </w:t>
      </w:r>
      <w:bookmarkStart w:id="30" w:name="fn3"/>
    </w:p>
    <w:p>
      <w:pPr>
        <w:pStyle w:val="Normal"/>
        <w:numPr>
          <w:ilvl w:val="0"/>
          <w:numId w:val="23"/>
        </w:numPr>
        <w:spacing w:lineRule="auto" w:line="360" w:before="0" w:after="210"/>
        <w:rPr/>
      </w:pPr>
      <w:hyperlink r:id="rId4">
        <w:bookmarkEnd w:id="30"/>
        <w:r>
          <w:rPr>
            <w:rStyle w:val="ListLabel26"/>
            <w:rFonts w:eastAsia="inter" w:cs="inter" w:ascii="inter" w:hAnsi="inter"/>
            <w:color w:val="auto"/>
            <w:sz w:val="18"/>
            <w:u w:val="single"/>
          </w:rPr>
          <w:t>https://online.hbs.edu/blog/post/three-steps-to-creating-a-personal-learning-syllabus</w:t>
        </w:r>
      </w:hyperlink>
      <w:r>
        <w:rPr>
          <w:rFonts w:eastAsia="inter" w:cs="inter" w:ascii="inter" w:hAnsi="inter"/>
          <w:color w:val="000000"/>
          <w:sz w:val="18"/>
        </w:rPr>
        <w:t xml:space="preserve">   </w:t>
      </w:r>
      <w:bookmarkStart w:id="31" w:name="fn4"/>
    </w:p>
    <w:p>
      <w:pPr>
        <w:pStyle w:val="Normal"/>
        <w:numPr>
          <w:ilvl w:val="0"/>
          <w:numId w:val="23"/>
        </w:numPr>
        <w:spacing w:lineRule="auto" w:line="360" w:before="0" w:after="210"/>
        <w:rPr/>
      </w:pPr>
      <w:hyperlink r:id="rId5">
        <w:bookmarkEnd w:id="31"/>
        <w:r>
          <w:rPr>
            <w:rStyle w:val="ListLabel26"/>
            <w:rFonts w:eastAsia="inter" w:cs="inter" w:ascii="inter" w:hAnsi="inter"/>
            <w:color w:val="auto"/>
            <w:sz w:val="18"/>
            <w:u w:val="single"/>
          </w:rPr>
          <w:t>http://centricconsulting.com/careers-resources/6-steps-personal-learning-plan/</w:t>
        </w:r>
      </w:hyperlink>
      <w:r>
        <w:rPr>
          <w:rFonts w:eastAsia="inter" w:cs="inter" w:ascii="inter" w:hAnsi="inter"/>
          <w:color w:val="000000"/>
          <w:sz w:val="18"/>
        </w:rPr>
        <w:t xml:space="preserve">  </w:t>
      </w:r>
      <w:bookmarkStart w:id="32" w:name="fn5"/>
    </w:p>
    <w:p>
      <w:pPr>
        <w:pStyle w:val="Normal"/>
        <w:numPr>
          <w:ilvl w:val="0"/>
          <w:numId w:val="23"/>
        </w:numPr>
        <w:spacing w:lineRule="auto" w:line="360" w:before="0" w:after="210"/>
        <w:rPr/>
      </w:pPr>
      <w:hyperlink r:id="rId6">
        <w:bookmarkEnd w:id="32"/>
        <w:r>
          <w:rPr>
            <w:rStyle w:val="ListLabel26"/>
            <w:rFonts w:eastAsia="inter" w:cs="inter" w:ascii="inter" w:hAnsi="inter"/>
            <w:color w:val="auto"/>
            <w:sz w:val="18"/>
            <w:u w:val="single"/>
          </w:rPr>
          <w:t>https://www.powerschool.com/blog/complete-guide-personalized-learning-k12-education/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  </w:t>
      </w:r>
      <w:bookmarkStart w:id="33" w:name="fn6"/>
    </w:p>
    <w:p>
      <w:pPr>
        <w:pStyle w:val="Normal"/>
        <w:numPr>
          <w:ilvl w:val="0"/>
          <w:numId w:val="23"/>
        </w:numPr>
        <w:spacing w:lineRule="auto" w:line="360" w:before="0" w:after="210"/>
        <w:rPr/>
      </w:pPr>
      <w:hyperlink r:id="rId7">
        <w:bookmarkEnd w:id="33"/>
        <w:r>
          <w:rPr>
            <w:rStyle w:val="ListLabel26"/>
            <w:rFonts w:eastAsia="inter" w:cs="inter" w:ascii="inter" w:hAnsi="inter"/>
            <w:color w:val="auto"/>
            <w:sz w:val="18"/>
            <w:u w:val="single"/>
          </w:rPr>
          <w:t>https://www.teachthought.com/learning/personalized-strategies/</w:t>
        </w:r>
      </w:hyperlink>
      <w:r>
        <w:rPr>
          <w:rFonts w:eastAsia="inter" w:cs="inter" w:ascii="inter" w:hAnsi="inter"/>
          <w:color w:val="000000"/>
          <w:sz w:val="18"/>
        </w:rPr>
        <w:t xml:space="preserve">    </w:t>
      </w:r>
      <w:bookmarkStart w:id="34" w:name="fn7"/>
    </w:p>
    <w:p>
      <w:pPr>
        <w:pStyle w:val="Normal"/>
        <w:numPr>
          <w:ilvl w:val="0"/>
          <w:numId w:val="23"/>
        </w:numPr>
        <w:spacing w:lineRule="auto" w:line="360" w:before="0" w:after="210"/>
        <w:rPr/>
      </w:pPr>
      <w:hyperlink r:id="rId8">
        <w:bookmarkEnd w:id="34"/>
        <w:r>
          <w:rPr>
            <w:rStyle w:val="ListLabel26"/>
            <w:rFonts w:eastAsia="inter" w:cs="inter" w:ascii="inter" w:hAnsi="inter"/>
            <w:color w:val="auto"/>
            <w:sz w:val="18"/>
            <w:u w:val="single"/>
          </w:rPr>
          <w:t>https://responsiblehomeschooling.org/guides/resources-for-homeschool-parents/homeschool-curriculum-learning-standards/designing-your-own-curriculum/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bookmarkStart w:id="35" w:name="fn8"/>
    </w:p>
    <w:p>
      <w:pPr>
        <w:pStyle w:val="Normal"/>
        <w:numPr>
          <w:ilvl w:val="0"/>
          <w:numId w:val="23"/>
        </w:numPr>
        <w:spacing w:lineRule="auto" w:line="360" w:before="0" w:after="210"/>
        <w:rPr/>
      </w:pPr>
      <w:hyperlink r:id="rId9">
        <w:bookmarkEnd w:id="35"/>
        <w:r>
          <w:rPr>
            <w:rStyle w:val="ListLabel26"/>
            <w:rFonts w:eastAsia="inter" w:cs="inter" w:ascii="inter" w:hAnsi="inter"/>
            <w:color w:val="auto"/>
            <w:sz w:val="18"/>
            <w:u w:val="single"/>
          </w:rPr>
          <w:t>https://www.edmentum.com/articles/10-steps-to-creating-personalized-learning-plans/</w:t>
        </w:r>
      </w:hyperlink>
      <w:r>
        <w:rPr>
          <w:rFonts w:eastAsia="inter" w:cs="inter" w:ascii="inter" w:hAnsi="inter"/>
          <w:color w:val="000000"/>
          <w:sz w:val="18"/>
        </w:rPr>
        <w:t xml:space="preserve">  </w:t>
      </w:r>
      <w:bookmarkStart w:id="36" w:name="fn9"/>
    </w:p>
    <w:p>
      <w:pPr>
        <w:pStyle w:val="Normal"/>
        <w:numPr>
          <w:ilvl w:val="0"/>
          <w:numId w:val="23"/>
        </w:numPr>
        <w:spacing w:lineRule="auto" w:line="360" w:before="0" w:after="210"/>
        <w:rPr/>
      </w:pPr>
      <w:hyperlink r:id="rId10">
        <w:bookmarkEnd w:id="36"/>
        <w:r>
          <w:rPr>
            <w:rStyle w:val="ListLabel26"/>
            <w:rFonts w:eastAsia="inter" w:cs="inter" w:ascii="inter" w:hAnsi="inter"/>
            <w:color w:val="auto"/>
            <w:sz w:val="18"/>
            <w:u w:val="single"/>
          </w:rPr>
          <w:t>https://www.valamis.com/hub/personalized-learning</w:t>
        </w:r>
      </w:hyperlink>
      <w:r>
        <w:rPr>
          <w:rFonts w:eastAsia="inter" w:cs="inter" w:ascii="inter" w:hAnsi="inter"/>
          <w:color w:val="000000"/>
          <w:sz w:val="18"/>
        </w:rPr>
        <w:t xml:space="preserve">   </w:t>
      </w:r>
      <w:bookmarkStart w:id="37" w:name="fn10"/>
    </w:p>
    <w:p>
      <w:pPr>
        <w:pStyle w:val="Normal"/>
        <w:numPr>
          <w:ilvl w:val="0"/>
          <w:numId w:val="23"/>
        </w:numPr>
        <w:spacing w:lineRule="auto" w:line="360" w:before="0" w:after="210"/>
        <w:rPr/>
      </w:pPr>
      <w:hyperlink r:id="rId11">
        <w:bookmarkEnd w:id="37"/>
        <w:r>
          <w:rPr>
            <w:rStyle w:val="ListLabel26"/>
            <w:rFonts w:eastAsia="inter" w:cs="inter" w:ascii="inter" w:hAnsi="inter"/>
            <w:color w:val="auto"/>
            <w:sz w:val="18"/>
            <w:u w:val="single"/>
          </w:rPr>
          <w:t>https://www.edutopia.org/discussion/6-elements-design-deliver-your-own-course/</w:t>
        </w:r>
      </w:hyperlink>
      <w:r>
        <w:rPr>
          <w:rFonts w:eastAsia="inter" w:cs="inter" w:ascii="inter" w:hAnsi="inter"/>
          <w:color w:val="000000"/>
          <w:sz w:val="18"/>
        </w:rPr>
        <w:t xml:space="preserve">  </w:t>
      </w:r>
    </w:p>
    <w:sectPr>
      <w:type w:val="nextPage"/>
      <w:pgSz w:w="12240" w:h="15840"/>
      <w:pgMar w:left="1365" w:right="1365" w:gutter="0" w:header="0" w:top="1365" w:footer="0" w:bottom="13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default"/>
  </w:font>
  <w:font w:name="Consolas">
    <w:charset w:val="01"/>
    <w:family w:val="roman"/>
    <w:pitch w:val="default"/>
  </w:font>
  <w:font w:name="Times New Roman">
    <w:charset w:val="01"/>
    <w:family w:val="roman"/>
    <w:pitch w:val="default"/>
  </w:font>
  <w:font w:name="inter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" w:cs="" w:cstheme="minorBidi" w:eastAsiaTheme="minorHAnsi" w:hAnsiTheme="minorHAnsi"/>
        <w:sz w:val="21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tLeast" w:line="240" w:before="0" w:after="120"/>
      <w:jc w:val="left"/>
    </w:pPr>
    <w:rPr>
      <w:rFonts w:ascii="Georgia" w:hAnsi="Georgia" w:eastAsia="" w:cs="" w:cstheme="minorBidi" w:eastAsiaTheme="minorHAnsi" w:hAnsiTheme="minorHAnsi"/>
      <w:color w:val="auto"/>
      <w:kern w:val="0"/>
      <w:sz w:val="21"/>
      <w:szCs w:val="22"/>
      <w:lang w:val="en-US" w:eastAsia="en-US" w:bidi="ar-SA"/>
    </w:rPr>
  </w:style>
  <w:style w:type="character" w:styleId="VerbatimChar" w:customStyle="1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 UI"/>
      <w:sz w:val="4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 UI"/>
      <w:i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 UI"/>
    </w:rPr>
  </w:style>
  <w:style w:type="table" w:default="1" w:styleId="TableNormal">
    <w:name w:val="Normal Table"/>
    <w:uiPriority w:val="99"/>
    <w:semiHidden/>
    <w:unhideWhenUsed/>
    <w:tblPr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icial.mc.edu/10-expert-ways-to-design-your-perfect-education-journey-today" TargetMode="External"/><Relationship Id="rId3" Type="http://schemas.openxmlformats.org/officeDocument/2006/relationships/hyperlink" Target="https://www.diygenius.com/how-to-create-a-self-directed-learning-plan/" TargetMode="External"/><Relationship Id="rId4" Type="http://schemas.openxmlformats.org/officeDocument/2006/relationships/hyperlink" Target="https://online.hbs.edu/blog/post/three-steps-to-creating-a-personal-learning-syllabus" TargetMode="External"/><Relationship Id="rId5" Type="http://schemas.openxmlformats.org/officeDocument/2006/relationships/hyperlink" Target="http://centricconsulting.com/careers-resources/6-steps-personal-learning-plan/" TargetMode="External"/><Relationship Id="rId6" Type="http://schemas.openxmlformats.org/officeDocument/2006/relationships/hyperlink" Target="https://www.powerschool.com/blog/complete-guide-personalized-learning-k12-education/" TargetMode="External"/><Relationship Id="rId7" Type="http://schemas.openxmlformats.org/officeDocument/2006/relationships/hyperlink" Target="https://www.teachthought.com/learning/personalized-strategies/" TargetMode="External"/><Relationship Id="rId8" Type="http://schemas.openxmlformats.org/officeDocument/2006/relationships/hyperlink" Target="https://responsiblehomeschooling.org/guides/resources-for-homeschool-parents/homeschool-curriculum-learning-standards/designing-your-own-curriculum/" TargetMode="External"/><Relationship Id="rId9" Type="http://schemas.openxmlformats.org/officeDocument/2006/relationships/hyperlink" Target="https://www.edmentum.com/articles/10-steps-to-creating-personalized-learning-plans/" TargetMode="External"/><Relationship Id="rId10" Type="http://schemas.openxmlformats.org/officeDocument/2006/relationships/hyperlink" Target="https://www.valamis.com/hub/personalized-learning" TargetMode="External"/><Relationship Id="rId11" Type="http://schemas.openxmlformats.org/officeDocument/2006/relationships/hyperlink" Target="https://www.edutopia.org/discussion/6-elements-design-deliver-your-own-course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6</Pages>
  <Words>716</Words>
  <Characters>4961</Characters>
  <CharactersWithSpaces>5475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2025-07-18T22:24:09Z</dcterms:created>
  <dc:creator>html-to-docx</dc:creator>
  <dc:description/>
  <cp:keywords>html-to-docx</cp:keywords>
  <dc:language>en-US</dc:language>
  <cp:lastModifiedBy/>
  <dcterms:modified xsi:type="dcterms:W3CDTF">2025-07-19T11:32:19Z</dcterms:modified>
  <cp:revision>2</cp:revision>
  <dc:subject/>
  <dc:title/>
</cp:coreProperties>
</file>