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315" w:after="105"/>
        <w:ind w:left="-30"/>
        <w:jc w:val="left"/>
        <w:rPr/>
      </w:pPr>
      <w:r>
        <w:rPr>
          <w:rFonts w:eastAsia="inter" w:cs="inter" w:ascii="inter" w:hAnsi="inter"/>
          <w:b/>
          <w:color w:val="000000"/>
          <w:sz w:val="24"/>
        </w:rPr>
        <w:t>Inductive Method’s Observation vs. SOAP’s Prayer Component</w:t>
      </w:r>
    </w:p>
    <w:p>
      <w:pPr>
        <w:pStyle w:val="Normal"/>
        <w:spacing w:lineRule="auto" w:line="360" w:before="0" w:after="210"/>
        <w:rPr/>
      </w:pPr>
      <w:r>
        <w:rPr>
          <w:rFonts w:eastAsia="inter" w:cs="inter" w:ascii="inter" w:hAnsi="inter"/>
          <w:color w:val="000000"/>
        </w:rPr>
        <w:t xml:space="preserve">The </w:t>
      </w:r>
      <w:r>
        <w:rPr>
          <w:rFonts w:eastAsia="inter" w:cs="inter" w:ascii="inter" w:hAnsi="inter"/>
          <w:b/>
          <w:color w:val="000000"/>
        </w:rPr>
        <w:t>inductive method’s observation step</w:t>
      </w:r>
      <w:r>
        <w:rPr>
          <w:rFonts w:eastAsia="inter" w:cs="inter" w:ascii="inter" w:hAnsi="inter"/>
          <w:color w:val="000000"/>
        </w:rPr>
        <w:t xml:space="preserve"> is all about carefully examining the biblical text—looking for details, repeated words, context, and structure to understand exactly what the passage says before moving on to interpretation and application. This phase is analytical and investigative, focusing on extracting facts and meaning from the text itself.</w:t>
      </w:r>
    </w:p>
    <w:p>
      <w:pPr>
        <w:pStyle w:val="Normal"/>
        <w:spacing w:lineRule="auto" w:line="360" w:before="0" w:after="210"/>
        <w:rPr/>
      </w:pPr>
      <w:r>
        <w:rPr>
          <w:rFonts w:eastAsia="inter" w:cs="inter" w:ascii="inter" w:hAnsi="inter"/>
          <w:color w:val="000000"/>
        </w:rPr>
        <w:t xml:space="preserve">In contrast, the </w:t>
      </w:r>
      <w:r>
        <w:rPr>
          <w:rFonts w:eastAsia="inter" w:cs="inter" w:ascii="inter" w:hAnsi="inter"/>
          <w:b/>
          <w:color w:val="000000"/>
        </w:rPr>
        <w:t>SOAP method’s prayer component</w:t>
      </w:r>
      <w:r>
        <w:rPr>
          <w:rFonts w:eastAsia="inter" w:cs="inter" w:ascii="inter" w:hAnsi="inter"/>
          <w:color w:val="000000"/>
        </w:rPr>
        <w:t xml:space="preserve"> is about responding to what you’ve read and observed by communicating with God—thanking Him for insights, asking for understanding, and seeking help to apply the passage to your life. Prayer in SOAP is reflective and relational, serving as a bridge between understanding Scripture and inviting God to work those truths into your heart and actions.</w:t>
      </w:r>
    </w:p>
    <w:p>
      <w:pPr>
        <w:pStyle w:val="Normal"/>
        <w:spacing w:lineRule="auto" w:line="360" w:before="210" w:after="0"/>
        <w:rPr/>
      </w:pPr>
      <w:r>
        <w:rPr/>
        <mc:AlternateContent>
          <mc:Choice Requires="wps">
            <w:drawing>
              <wp:inline distT="0" distB="0" distL="0" distR="0">
                <wp:extent cx="6038850" cy="635"/>
                <wp:effectExtent l="114300" t="0" r="114300" b="0"/>
                <wp:docPr id="1" name=""/>
                <a:graphic xmlns:a="http://schemas.openxmlformats.org/drawingml/2006/main">
                  <a:graphicData uri="http://schemas.microsoft.com/office/word/2010/wordprocessingShape">
                    <wps:wsp>
                      <wps:cNvSpPr/>
                      <wps:nvSpPr>
                        <wps:cNvPr id="2"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How Verse-Mapping Reveals Hidden Meanings in Scripture</w:t>
      </w:r>
    </w:p>
    <w:p>
      <w:pPr>
        <w:pStyle w:val="Normal"/>
        <w:spacing w:lineRule="auto" w:line="360" w:before="0" w:after="210"/>
        <w:rPr/>
      </w:pPr>
      <w:r>
        <w:rPr>
          <w:rFonts w:eastAsia="inter" w:cs="inter" w:ascii="inter" w:hAnsi="inter"/>
          <w:color w:val="000000"/>
        </w:rPr>
        <w:t>Verse-mapping is a deep-dive technique that breaks down a verse using tools like:</w:t>
      </w:r>
    </w:p>
    <w:p>
      <w:pPr>
        <w:pStyle w:val="Normal"/>
        <w:numPr>
          <w:ilvl w:val="0"/>
          <w:numId w:val="1"/>
        </w:numPr>
        <w:spacing w:lineRule="auto" w:line="360" w:before="105" w:after="105"/>
        <w:rPr/>
      </w:pPr>
      <w:r>
        <w:rPr>
          <w:rFonts w:eastAsia="inter" w:cs="inter" w:ascii="inter" w:hAnsi="inter"/>
          <w:color w:val="000000"/>
          <w:sz w:val="21"/>
        </w:rPr>
        <w:t>Comparing different translations</w:t>
      </w:r>
    </w:p>
    <w:p>
      <w:pPr>
        <w:pStyle w:val="Normal"/>
        <w:numPr>
          <w:ilvl w:val="0"/>
          <w:numId w:val="1"/>
        </w:numPr>
        <w:spacing w:lineRule="auto" w:line="360" w:before="105" w:after="105"/>
        <w:rPr/>
      </w:pPr>
      <w:r>
        <w:rPr>
          <w:rFonts w:eastAsia="inter" w:cs="inter" w:ascii="inter" w:hAnsi="inter"/>
          <w:color w:val="000000"/>
          <w:sz w:val="21"/>
        </w:rPr>
        <w:t>Studying historical context and word origins</w:t>
      </w:r>
    </w:p>
    <w:p>
      <w:pPr>
        <w:pStyle w:val="Normal"/>
        <w:numPr>
          <w:ilvl w:val="0"/>
          <w:numId w:val="1"/>
        </w:numPr>
        <w:spacing w:lineRule="auto" w:line="360" w:before="105" w:after="105"/>
        <w:rPr/>
      </w:pPr>
      <w:r>
        <w:rPr>
          <w:rFonts w:eastAsia="inter" w:cs="inter" w:ascii="inter" w:hAnsi="inter"/>
          <w:color w:val="000000"/>
          <w:sz w:val="21"/>
        </w:rPr>
        <w:t>Identifying and defining key words</w:t>
      </w:r>
    </w:p>
    <w:p>
      <w:pPr>
        <w:pStyle w:val="Normal"/>
        <w:numPr>
          <w:ilvl w:val="0"/>
          <w:numId w:val="1"/>
        </w:numPr>
        <w:spacing w:lineRule="auto" w:line="360" w:before="105" w:after="105"/>
        <w:rPr/>
      </w:pPr>
      <w:r>
        <w:rPr>
          <w:rFonts w:eastAsia="inter" w:cs="inter" w:ascii="inter" w:hAnsi="inter"/>
          <w:color w:val="000000"/>
          <w:sz w:val="21"/>
        </w:rPr>
        <w:t>Tracing cross-references throughout Scripture</w:t>
      </w:r>
      <w:hyperlink w:anchor="fn2">
        <w:bookmarkStart w:id="0" w:name="fnref2"/>
        <w:bookmarkEnd w:id="0"/>
        <w:r>
          <w:rPr>
            <w:rStyle w:val="ListLabel6"/>
            <w:rFonts w:eastAsia="inter" w:cs="inter" w:ascii="inter" w:hAnsi="inter"/>
            <w:color w:val="auto"/>
            <w:sz w:val="21"/>
            <w:u w:val="single"/>
            <w:vertAlign w:val="superscript"/>
          </w:rPr>
          <w:t>[</w:t>
        </w:r>
      </w:hyperlink>
    </w:p>
    <w:p>
      <w:pPr>
        <w:pStyle w:val="Normal"/>
        <w:numPr>
          <w:ilvl w:val="0"/>
          <w:numId w:val="1"/>
        </w:numPr>
        <w:spacing w:lineRule="auto" w:line="360" w:before="105" w:after="105"/>
        <w:rPr/>
      </w:pPr>
      <w:r>
        <w:rPr>
          <w:rFonts w:eastAsia="inter" w:cs="inter" w:ascii="inter" w:hAnsi="inter"/>
          <w:color w:val="000000"/>
        </w:rPr>
        <w:t>This method can reveal nuances in language, connections to other passages, and the full intent behind a verse. By visually mapping out these elements, you may uncover patterns, repeated themes, or theological truths that aren’t obvious at first glance. Verse-mapping also helps prevent misinterpretation by ensuring you understand the verse in its original context, not just in isolation.</w:t>
      </w:r>
    </w:p>
    <w:p>
      <w:pPr>
        <w:pStyle w:val="Normal"/>
        <w:spacing w:lineRule="auto" w:line="360" w:before="210" w:after="0"/>
        <w:rPr/>
      </w:pPr>
      <w:r>
        <w:rPr/>
        <mc:AlternateContent>
          <mc:Choice Requires="wps">
            <w:drawing>
              <wp:inline distT="0" distB="0" distL="0" distR="0">
                <wp:extent cx="6038850" cy="635"/>
                <wp:effectExtent l="114300" t="0" r="114300" b="0"/>
                <wp:docPr id="3" name=""/>
                <a:graphic xmlns:a="http://schemas.openxmlformats.org/drawingml/2006/main">
                  <a:graphicData uri="http://schemas.microsoft.com/office/word/2010/wordprocessingShape">
                    <wps:wsp>
                      <wps:cNvSpPr/>
                      <wps:nvSpPr>
                        <wps:cNvPr id="4"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Best Bible Study Approach for Relating Truths to Daily Experiences</w:t>
      </w:r>
    </w:p>
    <w:p>
      <w:pPr>
        <w:pStyle w:val="Normal"/>
        <w:spacing w:lineRule="auto" w:line="360" w:before="0" w:after="210"/>
        <w:rPr/>
      </w:pPr>
      <w:r>
        <w:rPr>
          <w:rFonts w:eastAsia="inter" w:cs="inter" w:ascii="inter" w:hAnsi="inter"/>
          <w:color w:val="000000"/>
        </w:rPr>
        <w:t xml:space="preserve">The </w:t>
      </w:r>
      <w:r>
        <w:rPr>
          <w:rFonts w:eastAsia="inter" w:cs="inter" w:ascii="inter" w:hAnsi="inter"/>
          <w:b/>
          <w:color w:val="000000"/>
        </w:rPr>
        <w:t>SOAP method</w:t>
      </w:r>
      <w:r>
        <w:rPr>
          <w:rFonts w:eastAsia="inter" w:cs="inter" w:ascii="inter" w:hAnsi="inter"/>
          <w:color w:val="000000"/>
        </w:rPr>
        <w:t xml:space="preserve"> is particularly effective for connecting biblical truths to daily life. Its structure (Scripture, Observation, Application, Prayer) naturally leads you from understanding a passage to considering how it applies personally, and then to prayerfully committing to live it out. This method encourages practical spirituality and ongoing growth in your faith journey.</w:t>
      </w:r>
    </w:p>
    <w:p>
      <w:pPr>
        <w:pStyle w:val="Normal"/>
        <w:spacing w:lineRule="auto" w:line="360" w:before="210" w:after="0"/>
        <w:rPr/>
      </w:pPr>
      <w:r>
        <w:rPr/>
        <mc:AlternateContent>
          <mc:Choice Requires="wps">
            <w:drawing>
              <wp:inline distT="0" distB="0" distL="0" distR="0">
                <wp:extent cx="6038850" cy="635"/>
                <wp:effectExtent l="114300" t="0" r="114300" b="0"/>
                <wp:docPr id="5" name=""/>
                <a:graphic xmlns:a="http://schemas.openxmlformats.org/drawingml/2006/main">
                  <a:graphicData uri="http://schemas.microsoft.com/office/word/2010/wordprocessingShape">
                    <wps:wsp>
                      <wps:cNvSpPr/>
                      <wps:nvSpPr>
                        <wps:cNvPr id="6"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How Topical Studies Deepen Understanding of Spiritual Themes</w:t>
      </w:r>
    </w:p>
    <w:p>
      <w:pPr>
        <w:pStyle w:val="Normal"/>
        <w:spacing w:lineRule="auto" w:line="360" w:before="0" w:after="210"/>
        <w:rPr/>
      </w:pPr>
      <w:r>
        <w:rPr>
          <w:rFonts w:eastAsia="inter" w:cs="inter" w:ascii="inter" w:hAnsi="inter"/>
          <w:color w:val="000000"/>
        </w:rPr>
        <w:t>Topical studies focus on a single theme or concept (like forgiveness, faith, or gratitude) and trace it throughout the Bible. This approach allows you to:</w:t>
      </w:r>
    </w:p>
    <w:p>
      <w:pPr>
        <w:pStyle w:val="Normal"/>
        <w:numPr>
          <w:ilvl w:val="0"/>
          <w:numId w:val="2"/>
        </w:numPr>
        <w:spacing w:lineRule="auto" w:line="360" w:before="105" w:after="105"/>
        <w:rPr/>
      </w:pPr>
      <w:r>
        <w:rPr>
          <w:rFonts w:eastAsia="inter" w:cs="inter" w:ascii="inter" w:hAnsi="inter"/>
          <w:color w:val="000000"/>
          <w:sz w:val="21"/>
        </w:rPr>
        <w:t>Gather a comprehensive view of what Scripture teaches about a subject</w:t>
      </w:r>
    </w:p>
    <w:p>
      <w:pPr>
        <w:pStyle w:val="Normal"/>
        <w:numPr>
          <w:ilvl w:val="0"/>
          <w:numId w:val="2"/>
        </w:numPr>
        <w:spacing w:lineRule="auto" w:line="360" w:before="105" w:after="105"/>
        <w:rPr/>
      </w:pPr>
      <w:r>
        <w:rPr>
          <w:rFonts w:eastAsia="inter" w:cs="inter" w:ascii="inter" w:hAnsi="inter"/>
          <w:color w:val="000000"/>
          <w:sz w:val="21"/>
        </w:rPr>
        <w:t>Synthesize insights from various books and authors</w:t>
      </w:r>
    </w:p>
    <w:p>
      <w:pPr>
        <w:pStyle w:val="Normal"/>
        <w:numPr>
          <w:ilvl w:val="0"/>
          <w:numId w:val="2"/>
        </w:numPr>
        <w:spacing w:lineRule="auto" w:line="360" w:before="105" w:after="105"/>
        <w:rPr/>
      </w:pPr>
      <w:r>
        <w:rPr>
          <w:rFonts w:eastAsia="inter" w:cs="inter" w:ascii="inter" w:hAnsi="inter"/>
          <w:color w:val="000000"/>
          <w:sz w:val="21"/>
        </w:rPr>
        <w:t>Recognize patterns, development, and depth within a theme</w:t>
      </w:r>
    </w:p>
    <w:p>
      <w:pPr>
        <w:pStyle w:val="Normal"/>
        <w:numPr>
          <w:ilvl w:val="0"/>
          <w:numId w:val="2"/>
        </w:numPr>
        <w:spacing w:lineRule="auto" w:line="360" w:before="105" w:after="105"/>
        <w:rPr/>
      </w:pPr>
      <w:r>
        <w:rPr>
          <w:rFonts w:eastAsia="inter" w:cs="inter" w:ascii="inter" w:hAnsi="inter"/>
          <w:color w:val="000000"/>
          <w:sz w:val="21"/>
        </w:rPr>
        <w:t>Apply biblical wisdom to specific areas of your life</w:t>
      </w:r>
    </w:p>
    <w:p>
      <w:pPr>
        <w:pStyle w:val="Normal"/>
        <w:spacing w:lineRule="auto" w:line="360" w:before="0" w:after="210"/>
        <w:rPr/>
      </w:pPr>
      <w:r>
        <w:rPr>
          <w:rFonts w:eastAsia="inter" w:cs="inter" w:ascii="inter" w:hAnsi="inter"/>
          <w:color w:val="000000"/>
        </w:rPr>
        <w:t>By studying a topic across different contexts and passages, you gain a richer, more nuanced understanding of spiritual concepts and how they relate to your faith journey.</w:t>
      </w:r>
    </w:p>
    <w:p>
      <w:pPr>
        <w:pStyle w:val="Normal"/>
        <w:spacing w:lineRule="auto" w:line="360" w:before="210" w:after="0"/>
        <w:rPr/>
      </w:pPr>
      <w:r>
        <w:rPr/>
        <mc:AlternateContent>
          <mc:Choice Requires="wps">
            <w:drawing>
              <wp:inline distT="0" distB="0" distL="0" distR="0">
                <wp:extent cx="6038850" cy="635"/>
                <wp:effectExtent l="114300" t="0" r="114300" b="0"/>
                <wp:docPr id="7" name=""/>
                <a:graphic xmlns:a="http://schemas.openxmlformats.org/drawingml/2006/main">
                  <a:graphicData uri="http://schemas.microsoft.com/office/word/2010/wordprocessingShape">
                    <wps:wsp>
                      <wps:cNvSpPr/>
                      <wps:nvSpPr>
                        <wps:cNvPr id="8"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p>
    <w:p>
      <w:pPr>
        <w:pStyle w:val="Normal"/>
        <w:spacing w:lineRule="auto" w:line="360" w:before="315" w:after="105"/>
        <w:ind w:left="-30"/>
        <w:jc w:val="left"/>
        <w:rPr/>
      </w:pPr>
      <w:r>
        <w:rPr>
          <w:rFonts w:eastAsia="inter" w:cs="inter" w:ascii="inter" w:hAnsi="inter"/>
          <w:b/>
          <w:color w:val="000000"/>
          <w:sz w:val="24"/>
        </w:rPr>
        <w:t>Resources to Stay Consistent with Bible Study Methods</w:t>
      </w:r>
    </w:p>
    <w:p>
      <w:pPr>
        <w:pStyle w:val="Normal"/>
        <w:spacing w:lineRule="auto" w:line="360" w:before="0" w:after="210"/>
        <w:rPr/>
      </w:pPr>
      <w:r>
        <w:rPr>
          <w:rFonts w:eastAsia="inter" w:cs="inter" w:ascii="inter" w:hAnsi="inter"/>
          <w:color w:val="000000"/>
        </w:rPr>
        <w:t>To maintain consistency in your Bible study, consider using:</w:t>
      </w:r>
    </w:p>
    <w:p>
      <w:pPr>
        <w:pStyle w:val="Normal"/>
        <w:numPr>
          <w:ilvl w:val="0"/>
          <w:numId w:val="3"/>
        </w:numPr>
        <w:spacing w:lineRule="auto" w:line="360" w:before="105" w:after="105"/>
        <w:rPr/>
      </w:pPr>
      <w:r>
        <w:rPr>
          <w:rFonts w:eastAsia="inter" w:cs="inter" w:ascii="inter" w:hAnsi="inter"/>
          <w:b/>
          <w:color w:val="000000"/>
          <w:sz w:val="21"/>
        </w:rPr>
        <w:t>Study Bibles</w:t>
      </w:r>
      <w:r>
        <w:rPr>
          <w:rFonts w:eastAsia="inter" w:cs="inter" w:ascii="inter" w:hAnsi="inter"/>
          <w:color w:val="000000"/>
          <w:sz w:val="21"/>
        </w:rPr>
        <w:t xml:space="preserve"> for notes, cross-references, and background info</w:t>
      </w:r>
    </w:p>
    <w:p>
      <w:pPr>
        <w:pStyle w:val="Normal"/>
        <w:numPr>
          <w:ilvl w:val="0"/>
          <w:numId w:val="3"/>
        </w:numPr>
        <w:spacing w:lineRule="auto" w:line="360" w:before="105" w:after="105"/>
        <w:rPr/>
      </w:pPr>
      <w:r>
        <w:rPr>
          <w:rFonts w:eastAsia="inter" w:cs="inter" w:ascii="inter" w:hAnsi="inter"/>
          <w:b/>
          <w:color w:val="000000"/>
          <w:sz w:val="21"/>
        </w:rPr>
        <w:t>Bible apps</w:t>
      </w:r>
      <w:r>
        <w:rPr>
          <w:rFonts w:eastAsia="inter" w:cs="inter" w:ascii="inter" w:hAnsi="inter"/>
          <w:color w:val="000000"/>
          <w:sz w:val="21"/>
        </w:rPr>
        <w:t xml:space="preserve"> (Blue Letter Bible, YouVersion) for multiple translations, word studies, and reading plans</w:t>
      </w:r>
      <w:r>
        <w:rPr>
          <w:rFonts w:eastAsia="inter" w:cs="inter" w:ascii="inter" w:hAnsi="inter"/>
          <w:color w:val="auto"/>
          <w:sz w:val="21"/>
          <w:u w:val="single"/>
          <w:vertAlign w:val="superscript"/>
        </w:rPr>
        <w:t>.</w:t>
      </w:r>
    </w:p>
    <w:p>
      <w:pPr>
        <w:pStyle w:val="Normal"/>
        <w:numPr>
          <w:ilvl w:val="0"/>
          <w:numId w:val="3"/>
        </w:numPr>
        <w:spacing w:lineRule="auto" w:line="360" w:before="105" w:after="105"/>
        <w:rPr/>
      </w:pPr>
      <w:r>
        <w:rPr>
          <w:rFonts w:eastAsia="inter" w:cs="inter" w:ascii="inter" w:hAnsi="inter"/>
          <w:b/>
          <w:color w:val="000000"/>
          <w:sz w:val="21"/>
        </w:rPr>
        <w:t>Journals and worksheets</w:t>
      </w:r>
      <w:r>
        <w:rPr>
          <w:rFonts w:eastAsia="inter" w:cs="inter" w:ascii="inter" w:hAnsi="inter"/>
          <w:color w:val="000000"/>
          <w:sz w:val="21"/>
        </w:rPr>
        <w:t xml:space="preserve"> for SOAP, inductive study, or verse-mapping templates</w:t>
      </w:r>
      <w:r>
        <w:rPr>
          <w:rFonts w:eastAsia="inter" w:cs="inter" w:ascii="inter" w:hAnsi="inter"/>
          <w:color w:val="auto"/>
          <w:sz w:val="21"/>
          <w:u w:val="single"/>
          <w:vertAlign w:val="superscript"/>
        </w:rPr>
        <w:t>.</w:t>
      </w:r>
    </w:p>
    <w:p>
      <w:pPr>
        <w:pStyle w:val="Normal"/>
        <w:numPr>
          <w:ilvl w:val="0"/>
          <w:numId w:val="3"/>
        </w:numPr>
        <w:spacing w:lineRule="auto" w:line="360" w:before="105" w:after="105"/>
        <w:rPr/>
      </w:pPr>
      <w:r>
        <w:rPr>
          <w:rFonts w:eastAsia="inter" w:cs="inter" w:ascii="inter" w:hAnsi="inter"/>
          <w:b/>
          <w:color w:val="000000"/>
          <w:sz w:val="21"/>
        </w:rPr>
        <w:t>Concordances and Bible dictionaries</w:t>
      </w:r>
      <w:r>
        <w:rPr>
          <w:rFonts w:eastAsia="inter" w:cs="inter" w:ascii="inter" w:hAnsi="inter"/>
          <w:color w:val="000000"/>
          <w:sz w:val="21"/>
        </w:rPr>
        <w:t xml:space="preserve"> for original language and word meaning research</w:t>
      </w:r>
      <w:r>
        <w:rPr>
          <w:rFonts w:eastAsia="inter" w:cs="inter" w:ascii="inter" w:hAnsi="inter"/>
          <w:color w:val="auto"/>
          <w:sz w:val="21"/>
          <w:u w:val="single"/>
          <w:vertAlign w:val="superscript"/>
        </w:rPr>
        <w:t>.</w:t>
      </w:r>
    </w:p>
    <w:p>
      <w:pPr>
        <w:pStyle w:val="Normal"/>
        <w:numPr>
          <w:ilvl w:val="0"/>
          <w:numId w:val="3"/>
        </w:numPr>
        <w:spacing w:lineRule="auto" w:line="360" w:before="105" w:after="105"/>
        <w:rPr/>
      </w:pPr>
      <w:r>
        <w:rPr>
          <w:rFonts w:eastAsia="inter" w:cs="inter" w:ascii="inter" w:hAnsi="inter"/>
          <w:b/>
          <w:color w:val="000000"/>
          <w:sz w:val="21"/>
        </w:rPr>
        <w:t>Prewritten topical studies</w:t>
      </w:r>
      <w:r>
        <w:rPr>
          <w:rFonts w:eastAsia="inter" w:cs="inter" w:ascii="inter" w:hAnsi="inter"/>
          <w:color w:val="000000"/>
          <w:sz w:val="21"/>
        </w:rPr>
        <w:t xml:space="preserve"> for guided exploration of specific themes</w:t>
      </w:r>
      <w:bookmarkStart w:id="1" w:name="fnref4%3A2"/>
      <w:bookmarkEnd w:id="1"/>
      <w:r>
        <w:rPr>
          <w:rFonts w:eastAsia="inter" w:cs="inter" w:ascii="inter" w:hAnsi="inter"/>
          <w:color w:val="000000"/>
          <w:sz w:val="21"/>
        </w:rPr>
        <w:t>.</w:t>
      </w:r>
    </w:p>
    <w:p>
      <w:pPr>
        <w:pStyle w:val="Normal"/>
        <w:numPr>
          <w:ilvl w:val="0"/>
          <w:numId w:val="3"/>
        </w:numPr>
        <w:spacing w:lineRule="auto" w:line="360" w:before="105" w:after="105"/>
        <w:rPr/>
      </w:pPr>
      <w:r>
        <w:rPr>
          <w:rFonts w:eastAsia="inter" w:cs="inter" w:ascii="inter" w:hAnsi="inter"/>
          <w:b/>
          <w:color w:val="000000"/>
          <w:sz w:val="21"/>
        </w:rPr>
        <w:t>Accountability partners or groups</w:t>
      </w:r>
      <w:r>
        <w:rPr>
          <w:rFonts w:eastAsia="inter" w:cs="inter" w:ascii="inter" w:hAnsi="inter"/>
          <w:color w:val="000000"/>
          <w:sz w:val="21"/>
        </w:rPr>
        <w:t xml:space="preserve"> for encouragement and discussion</w:t>
      </w:r>
      <w:r>
        <w:rPr>
          <w:rFonts w:eastAsia="inter" w:cs="inter" w:ascii="inter" w:hAnsi="inter"/>
          <w:color w:val="auto"/>
          <w:sz w:val="21"/>
          <w:u w:val="single"/>
          <w:vertAlign w:val="superscript"/>
        </w:rPr>
        <w:t>.</w:t>
      </w:r>
    </w:p>
    <w:p>
      <w:pPr>
        <w:pStyle w:val="Normal"/>
        <w:spacing w:lineRule="auto" w:line="360" w:before="0" w:after="210"/>
        <w:rPr/>
      </w:pPr>
      <w:r>
        <w:rPr>
          <w:rFonts w:eastAsia="inter" w:cs="inter" w:ascii="inter" w:hAnsi="inter"/>
          <w:color w:val="000000"/>
        </w:rPr>
        <w:t>Combining these tools with a regular routine can make your Bible study more engaging, insightful, and sustainable</w:t>
      </w:r>
      <w:bookmarkStart w:id="2" w:name="fnref5%3A4"/>
      <w:bookmarkEnd w:id="2"/>
      <w:r>
        <w:rPr>
          <w:rFonts w:eastAsia="inter" w:cs="inter" w:ascii="inter" w:hAnsi="inter"/>
          <w:color w:val="000000"/>
        </w:rPr>
        <w:t>.</w:t>
      </w:r>
      <w:bookmarkStart w:id="3" w:name="fn1"/>
      <w:bookmarkStart w:id="4" w:name="fn2"/>
      <w:bookmarkStart w:id="5" w:name="fn3"/>
      <w:bookmarkStart w:id="6" w:name="fn4"/>
      <w:bookmarkStart w:id="7" w:name="fn5"/>
      <w:bookmarkEnd w:id="3"/>
      <w:bookmarkEnd w:id="4"/>
      <w:bookmarkEnd w:id="5"/>
      <w:bookmarkEnd w:id="6"/>
      <w:bookmarkEnd w:id="7"/>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 w:name="Consolas">
    <w:charset w:val="01"/>
    <w:family w:val="roman"/>
    <w:pitch w:val="default"/>
  </w:font>
  <w:font w:name="Times New Roman">
    <w:charset w:val="01"/>
    <w:family w:val="roman"/>
    <w:pitch w:val="default"/>
  </w:font>
  <w:font w:name="inter">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UI"/>
      <w:sz w:val="4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UI"/>
    </w:rPr>
  </w:style>
  <w:style w:type="paragraph" w:styleId="Caption">
    <w:name w:val="Caption"/>
    <w:basedOn w:val="Normal"/>
    <w:qFormat/>
    <w:pPr>
      <w:suppressLineNumbers/>
      <w:spacing w:before="120" w:after="120"/>
    </w:pPr>
    <w:rPr>
      <w:rFonts w:ascii="Times New Roman" w:hAnsi="Times New Roman" w:cs="Noto Sans Devanagari UI"/>
      <w:i/>
      <w:iCs/>
      <w:sz w:val="32"/>
      <w:szCs w:val="24"/>
    </w:rPr>
  </w:style>
  <w:style w:type="paragraph" w:styleId="Index">
    <w:name w:val="Index"/>
    <w:basedOn w:val="Normal"/>
    <w:qFormat/>
    <w:pPr>
      <w:suppressLineNumbers/>
    </w:pPr>
    <w:rPr>
      <w:rFonts w:ascii="Times New Roman" w:hAnsi="Times New Roman"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2</Pages>
  <Words>484</Words>
  <Characters>2804</Characters>
  <CharactersWithSpaces>3243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2025-06-06T12:49:17Z</dcterms:created>
  <dc:creator>html-to-docx</dc:creator>
  <dc:description/>
  <cp:keywords>html-to-docx</cp:keywords>
  <dc:language>en-US</dc:language>
  <cp:lastModifiedBy/>
  <dcterms:modified xsi:type="dcterms:W3CDTF">2025-07-22T01:28:35Z</dcterms:modified>
  <cp:revision>2</cp:revision>
  <dc:subject/>
  <dc:title/>
</cp:coreProperties>
</file>