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80b8433188532d67c4c34f43d778404b45aa4b7.png"/>
            <a:graphic>
              <a:graphicData uri="http://schemas.openxmlformats.org/drawingml/2006/picture">
                <pic:pic>
                  <pic:nvPicPr>
                    <pic:cNvPr id="1" name="image-080b8433188532d67c4c34f43d778404b45aa4b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Key Differences Between Inductive and SOAP Bible Study Methods</w:t>
      </w:r>
    </w:p>
    <w:p>
      <w:pPr>
        <w:spacing w:line="360" w:after="210" w:lineRule="auto"/>
      </w:pPr>
      <w:r>
        <w:rPr>
          <w:rFonts w:eastAsia="inter" w:cs="inter" w:ascii="inter" w:hAnsi="inter"/>
          <w:b/>
          <w:color w:val="000000"/>
        </w:rPr>
        <w:t xml:space="preserve">Inductive Method:</w:t>
      </w:r>
    </w:p>
    <w:p>
      <w:pPr>
        <w:numPr>
          <w:ilvl w:val="0"/>
          <w:numId w:val="1"/>
        </w:numPr>
        <w:spacing w:line="360" w:before="105" w:after="105" w:lineRule="auto"/>
      </w:pPr>
      <w:r>
        <w:rPr>
          <w:rFonts w:eastAsia="inter" w:cs="inter" w:ascii="inter" w:hAnsi="inter"/>
          <w:color w:val="000000"/>
          <w:sz w:val="21"/>
        </w:rPr>
        <w:t xml:space="preserve">Focuses on a structured, three-step process: Observation (What does the text say?), Interpretation (What does it mean?), and Application (How does it apply to my life?).</w:t>
      </w:r>
    </w:p>
    <w:p>
      <w:pPr>
        <w:numPr>
          <w:ilvl w:val="0"/>
          <w:numId w:val="1"/>
        </w:numPr>
        <w:spacing w:line="360" w:before="105" w:after="105" w:lineRule="auto"/>
      </w:pPr>
      <w:r>
        <w:rPr>
          <w:rFonts w:eastAsia="inter" w:cs="inter" w:ascii="inter" w:hAnsi="inter"/>
          <w:color w:val="000000"/>
          <w:sz w:val="21"/>
        </w:rPr>
        <w:t xml:space="preserve">Utilizes the “five Ws and one H” (Who, What, When, Where, Why, How) to dig deeply into the context, intent, and meaning of a passage.</w:t>
      </w:r>
    </w:p>
    <w:p>
      <w:pPr>
        <w:numPr>
          <w:ilvl w:val="0"/>
          <w:numId w:val="1"/>
        </w:numPr>
        <w:spacing w:line="360" w:before="105" w:after="105" w:lineRule="auto"/>
      </w:pPr>
      <w:r>
        <w:rPr>
          <w:rFonts w:eastAsia="inter" w:cs="inter" w:ascii="inter" w:hAnsi="inter"/>
          <w:color w:val="000000"/>
          <w:sz w:val="21"/>
        </w:rPr>
        <w:t xml:space="preserve">Encourages a comprehensive, analytical approach, often used for in-depth study of passages, books, or themes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SOAP Method:</w:t>
      </w:r>
    </w:p>
    <w:p>
      <w:pPr>
        <w:numPr>
          <w:ilvl w:val="0"/>
          <w:numId w:val="2"/>
        </w:numPr>
        <w:spacing w:line="360" w:before="105" w:after="105" w:lineRule="auto"/>
      </w:pPr>
      <w:r>
        <w:rPr>
          <w:rFonts w:eastAsia="inter" w:cs="inter" w:ascii="inter" w:hAnsi="inter"/>
          <w:color w:val="000000"/>
          <w:sz w:val="21"/>
        </w:rPr>
        <w:t xml:space="preserve">Stands for Scripture, Observation, Application, and Prayer.</w:t>
      </w:r>
    </w:p>
    <w:p>
      <w:pPr>
        <w:numPr>
          <w:ilvl w:val="0"/>
          <w:numId w:val="2"/>
        </w:numPr>
        <w:spacing w:line="360" w:before="105" w:after="105" w:lineRule="auto"/>
      </w:pPr>
      <w:r>
        <w:rPr>
          <w:rFonts w:eastAsia="inter" w:cs="inter" w:ascii="inter" w:hAnsi="inter"/>
          <w:color w:val="000000"/>
          <w:sz w:val="21"/>
        </w:rPr>
        <w:t xml:space="preserve">Involves writing out a verse (Scripture), making observations about it, applying it personally, and responding in prayer.</w:t>
      </w:r>
    </w:p>
    <w:p>
      <w:pPr>
        <w:numPr>
          <w:ilvl w:val="0"/>
          <w:numId w:val="2"/>
        </w:numPr>
        <w:spacing w:line="360" w:before="105" w:after="105" w:lineRule="auto"/>
      </w:pPr>
      <w:r>
        <w:rPr>
          <w:rFonts w:eastAsia="inter" w:cs="inter" w:ascii="inter" w:hAnsi="inter"/>
          <w:color w:val="000000"/>
          <w:sz w:val="21"/>
        </w:rPr>
        <w:t xml:space="preserve">Simpler and more devotional in nature, focusing on personal reflection and spiritual growth rather than extensive contextual analysis</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3"/>
      <w:bookmarkEnd w:id="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Aspect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Inductive Method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SOAP Method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Observation, Interpretation, Application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Scripture, Observation, Application, Prayer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Depth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Analytical, detailed, context-driven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Simple, reflective, personal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Focus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Understanding original meaning and context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Personal application and prayer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 Case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In-depth study, teaching, group study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Daily devotions, journaling, individual use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Effectively Using Verse-Mapping to Deepen Understanding</w:t>
      </w:r>
    </w:p>
    <w:p>
      <w:pPr>
        <w:spacing w:line="360" w:after="210" w:lineRule="auto"/>
      </w:pPr>
      <w:r>
        <w:rPr>
          <w:rFonts w:eastAsia="inter" w:cs="inter" w:ascii="inter" w:hAnsi="inter"/>
          <w:color w:val="000000"/>
        </w:rPr>
        <w:t xml:space="preserve">Verse mapping is a visual, detailed approach that breaks down a verse to uncover its full meaning. Here’s how to use it effectively:</w:t>
      </w:r>
    </w:p>
    <w:p>
      <w:pPr>
        <w:numPr>
          <w:ilvl w:val="0"/>
          <w:numId w:val="3"/>
        </w:numPr>
        <w:spacing w:line="360" w:before="105" w:after="105" w:lineRule="auto"/>
      </w:pPr>
      <w:r>
        <w:rPr>
          <w:rFonts w:eastAsia="inter" w:cs="inter" w:ascii="inter" w:hAnsi="inter"/>
          <w:b/>
          <w:color w:val="000000"/>
          <w:sz w:val="21"/>
        </w:rPr>
        <w:t xml:space="preserve">Compare Translations:</w:t>
      </w:r>
      <w:r>
        <w:rPr>
          <w:rFonts w:eastAsia="inter" w:cs="inter" w:ascii="inter" w:hAnsi="inter"/>
          <w:color w:val="000000"/>
          <w:sz w:val="21"/>
        </w:rPr>
        <w:t xml:space="preserve"> Write the verse in multiple Bible translations to notice differences in wording and nuance.</w:t>
      </w:r>
    </w:p>
    <w:p>
      <w:pPr>
        <w:numPr>
          <w:ilvl w:val="0"/>
          <w:numId w:val="3"/>
        </w:numPr>
        <w:spacing w:line="360" w:before="105" w:after="105" w:lineRule="auto"/>
      </w:pPr>
      <w:r>
        <w:rPr>
          <w:rFonts w:eastAsia="inter" w:cs="inter" w:ascii="inter" w:hAnsi="inter"/>
          <w:b/>
          <w:color w:val="000000"/>
          <w:sz w:val="21"/>
        </w:rPr>
        <w:t xml:space="preserve">Identify Keywords:</w:t>
      </w:r>
      <w:r>
        <w:rPr>
          <w:rFonts w:eastAsia="inter" w:cs="inter" w:ascii="inter" w:hAnsi="inter"/>
          <w:color w:val="000000"/>
          <w:sz w:val="21"/>
        </w:rPr>
        <w:t xml:space="preserve"> Circle or highlight important or repeated words. Look up their meanings in the original languages (using a concordance or Bible dictionary).</w:t>
      </w:r>
    </w:p>
    <w:p>
      <w:pPr>
        <w:numPr>
          <w:ilvl w:val="0"/>
          <w:numId w:val="3"/>
        </w:numPr>
        <w:spacing w:line="360" w:before="105" w:after="105" w:lineRule="auto"/>
      </w:pPr>
      <w:r>
        <w:rPr>
          <w:rFonts w:eastAsia="inter" w:cs="inter" w:ascii="inter" w:hAnsi="inter"/>
          <w:b/>
          <w:color w:val="000000"/>
          <w:sz w:val="21"/>
        </w:rPr>
        <w:t xml:space="preserve">Cross-Reference:</w:t>
      </w:r>
      <w:r>
        <w:rPr>
          <w:rFonts w:eastAsia="inter" w:cs="inter" w:ascii="inter" w:hAnsi="inter"/>
          <w:color w:val="000000"/>
          <w:sz w:val="21"/>
        </w:rPr>
        <w:t xml:space="preserve"> Find related verses throughout the Bible to see how the concept is developed elsewhere.</w:t>
      </w:r>
    </w:p>
    <w:p>
      <w:pPr>
        <w:numPr>
          <w:ilvl w:val="0"/>
          <w:numId w:val="3"/>
        </w:numPr>
        <w:spacing w:line="360" w:before="105" w:after="105" w:lineRule="auto"/>
      </w:pPr>
      <w:r>
        <w:rPr>
          <w:rFonts w:eastAsia="inter" w:cs="inter" w:ascii="inter" w:hAnsi="inter"/>
          <w:b/>
          <w:color w:val="000000"/>
          <w:sz w:val="21"/>
        </w:rPr>
        <w:t xml:space="preserve">Contextual Study:</w:t>
      </w:r>
      <w:r>
        <w:rPr>
          <w:rFonts w:eastAsia="inter" w:cs="inter" w:ascii="inter" w:hAnsi="inter"/>
          <w:color w:val="000000"/>
          <w:sz w:val="21"/>
        </w:rPr>
        <w:t xml:space="preserve"> Research the historical and literary context—who wrote it, to whom, and why.</w:t>
      </w:r>
    </w:p>
    <w:p>
      <w:pPr>
        <w:numPr>
          <w:ilvl w:val="0"/>
          <w:numId w:val="3"/>
        </w:numPr>
        <w:spacing w:line="360" w:before="105" w:after="105" w:lineRule="auto"/>
      </w:pPr>
      <w:r>
        <w:rPr>
          <w:rFonts w:eastAsia="inter" w:cs="inter" w:ascii="inter" w:hAnsi="inter"/>
          <w:b/>
          <w:color w:val="000000"/>
          <w:sz w:val="21"/>
        </w:rPr>
        <w:t xml:space="preserve">Paraphrase and Summarize:</w:t>
      </w:r>
      <w:r>
        <w:rPr>
          <w:rFonts w:eastAsia="inter" w:cs="inter" w:ascii="inter" w:hAnsi="inter"/>
          <w:color w:val="000000"/>
          <w:sz w:val="21"/>
        </w:rPr>
        <w:t xml:space="preserve"> Restate the verse in your own words and jot down main takeaways.</w:t>
      </w:r>
    </w:p>
    <w:p>
      <w:pPr>
        <w:numPr>
          <w:ilvl w:val="0"/>
          <w:numId w:val="3"/>
        </w:numPr>
        <w:spacing w:line="360" w:before="105" w:after="105" w:lineRule="auto"/>
      </w:pPr>
      <w:r>
        <w:rPr>
          <w:rFonts w:eastAsia="inter" w:cs="inter" w:ascii="inter" w:hAnsi="inter"/>
          <w:b/>
          <w:color w:val="000000"/>
          <w:sz w:val="21"/>
        </w:rPr>
        <w:t xml:space="preserve">Apply:</w:t>
      </w:r>
      <w:r>
        <w:rPr>
          <w:rFonts w:eastAsia="inter" w:cs="inter" w:ascii="inter" w:hAnsi="inter"/>
          <w:color w:val="000000"/>
          <w:sz w:val="21"/>
        </w:rPr>
        <w:t xml:space="preserve"> Reflect on how the verse applies to your life and record practical steps</w:t>
      </w:r>
      <w:bookmarkStart w:id="4" w:name="fnref4"/>
      <w:bookmarkEnd w:id="4"/>
      <w:hyperlink w:anchor="fn4">
        <w:r>
          <w:rPr>
            <w:rFonts w:eastAsia="inter" w:cs="inter" w:ascii="inter" w:hAnsi="inter"/>
            <w:color w:val="#000"/>
            <w:sz w:val="21"/>
            <w:u w:val="single"/>
            <w:vertAlign w:val="superscript"/>
          </w:rPr>
          <w:t xml:space="preserve">[4]</w:t>
        </w:r>
      </w:hyperlink>
      <w:bookmarkStart w:id="5" w:name="fnref5"/>
      <w:bookmarkEnd w:id="5"/>
      <w:hyperlink w:anchor="fn5">
        <w:r>
          <w:rPr>
            <w:rFonts w:eastAsia="inter" w:cs="inter" w:ascii="inter" w:hAnsi="inter"/>
            <w:color w:val="#000"/>
            <w:sz w:val="21"/>
            <w:u w:val="single"/>
            <w:vertAlign w:val="superscript"/>
          </w:rPr>
          <w:t xml:space="preserve">[5]</w:t>
        </w:r>
      </w:hyperlink>
      <w:bookmarkStart w:id="6" w:name="fnref2:1"/>
      <w:bookmarkEnd w:id="6"/>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This method allows you to “dig deep into the soil of Scripture,” revealing connections and insights that might otherwise be missed, and helps internalize God’s Word for daily living</w:t>
      </w:r>
      <w:bookmarkStart w:id="7" w:name="fnref5:1"/>
      <w:bookmarkEnd w:id="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Best Bible Study Method for Connecting Biblical Truths to Daily Life</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SOAP Method</w:t>
      </w:r>
      <w:r>
        <w:rPr>
          <w:rFonts w:eastAsia="inter" w:cs="inter" w:ascii="inter" w:hAnsi="inter"/>
          <w:color w:val="000000"/>
        </w:rPr>
        <w:t xml:space="preserve"> is especially effective for connecting biblical truths to daily life. Its focus on personal application and prayer encourages you to move from reading to living out Scripture. By writing out the verse, reflecting on its meaning, and intentionally seeking ways to apply it, you make God’s Word relevant and actionable in your everyday circumstances</w:t>
      </w:r>
      <w:bookmarkStart w:id="8" w:name="fnref3:1"/>
      <w:bookmarkEnd w:id="8"/>
      <w:hyperlink w:anchor="fn3">
        <w:r>
          <w:rPr>
            <w:rFonts w:eastAsia="inter" w:cs="inter" w:ascii="inter" w:hAnsi="inter"/>
            <w:color w:val="#000"/>
            <w:u w:val="single"/>
            <w:vertAlign w:val="superscript"/>
          </w:rPr>
          <w:t xml:space="preserve">[3]</w:t>
        </w:r>
      </w:hyperlink>
      <w:bookmarkStart w:id="9" w:name="fnref1:2"/>
      <w:bookmarkEnd w:id="9"/>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Topical Studies Enhance Knowledge of Specific Spiritual Concepts</w:t>
      </w:r>
    </w:p>
    <w:p>
      <w:pPr>
        <w:spacing w:line="360" w:after="210" w:lineRule="auto"/>
      </w:pPr>
      <w:r>
        <w:rPr>
          <w:rFonts w:eastAsia="inter" w:cs="inter" w:ascii="inter" w:hAnsi="inter"/>
          <w:color w:val="000000"/>
        </w:rPr>
        <w:t xml:space="preserve">Topical studies involve selecting a theme or concept (e.g., forgiveness, faith, love) and tracing it throughout the Bible. This approach:</w:t>
      </w:r>
    </w:p>
    <w:p>
      <w:pPr>
        <w:numPr>
          <w:ilvl w:val="0"/>
          <w:numId w:val="4"/>
        </w:numPr>
        <w:spacing w:line="360" w:before="105" w:after="105" w:lineRule="auto"/>
      </w:pPr>
      <w:r>
        <w:rPr>
          <w:rFonts w:eastAsia="inter" w:cs="inter" w:ascii="inter" w:hAnsi="inter"/>
          <w:b/>
          <w:color w:val="000000"/>
          <w:sz w:val="21"/>
        </w:rPr>
        <w:t xml:space="preserve">Gathers a comprehensive view</w:t>
      </w:r>
      <w:r>
        <w:rPr>
          <w:rFonts w:eastAsia="inter" w:cs="inter" w:ascii="inter" w:hAnsi="inter"/>
          <w:color w:val="000000"/>
          <w:sz w:val="21"/>
        </w:rPr>
        <w:t xml:space="preserve"> by collecting and analyzing all relevant passages.</w:t>
      </w:r>
    </w:p>
    <w:p>
      <w:pPr>
        <w:numPr>
          <w:ilvl w:val="0"/>
          <w:numId w:val="4"/>
        </w:numPr>
        <w:spacing w:line="360" w:before="105" w:after="105" w:lineRule="auto"/>
      </w:pPr>
      <w:r>
        <w:rPr>
          <w:rFonts w:eastAsia="inter" w:cs="inter" w:ascii="inter" w:hAnsi="inter"/>
          <w:b/>
          <w:color w:val="000000"/>
          <w:sz w:val="21"/>
        </w:rPr>
        <w:t xml:space="preserve">Synthesizes insights</w:t>
      </w:r>
      <w:r>
        <w:rPr>
          <w:rFonts w:eastAsia="inter" w:cs="inter" w:ascii="inter" w:hAnsi="inter"/>
          <w:color w:val="000000"/>
          <w:sz w:val="21"/>
        </w:rPr>
        <w:t xml:space="preserve"> from different books and authors, providing a fuller understanding of the topic.</w:t>
      </w:r>
    </w:p>
    <w:p>
      <w:pPr>
        <w:numPr>
          <w:ilvl w:val="0"/>
          <w:numId w:val="4"/>
        </w:numPr>
        <w:spacing w:line="360" w:before="105" w:after="105" w:lineRule="auto"/>
      </w:pPr>
      <w:r>
        <w:rPr>
          <w:rFonts w:eastAsia="inter" w:cs="inter" w:ascii="inter" w:hAnsi="inter"/>
          <w:b/>
          <w:color w:val="000000"/>
          <w:sz w:val="21"/>
        </w:rPr>
        <w:t xml:space="preserve">Reveals patterns and principles</w:t>
      </w:r>
      <w:r>
        <w:rPr>
          <w:rFonts w:eastAsia="inter" w:cs="inter" w:ascii="inter" w:hAnsi="inter"/>
          <w:color w:val="000000"/>
          <w:sz w:val="21"/>
        </w:rPr>
        <w:t xml:space="preserve"> that might not be apparent in isolated readings.</w:t>
      </w:r>
    </w:p>
    <w:p>
      <w:pPr>
        <w:numPr>
          <w:ilvl w:val="0"/>
          <w:numId w:val="4"/>
        </w:numPr>
        <w:spacing w:line="360" w:before="105" w:after="105" w:lineRule="auto"/>
      </w:pPr>
      <w:r>
        <w:rPr>
          <w:rFonts w:eastAsia="inter" w:cs="inter" w:ascii="inter" w:hAnsi="inter"/>
          <w:b/>
          <w:color w:val="000000"/>
          <w:sz w:val="21"/>
        </w:rPr>
        <w:t xml:space="preserve">Enables targeted spiritual growth</w:t>
      </w:r>
      <w:r>
        <w:rPr>
          <w:rFonts w:eastAsia="inter" w:cs="inter" w:ascii="inter" w:hAnsi="inter"/>
          <w:color w:val="000000"/>
          <w:sz w:val="21"/>
        </w:rPr>
        <w:t xml:space="preserve"> by focusing your study on areas where you seek understanding or transformation</w:t>
      </w:r>
      <w:bookmarkStart w:id="10" w:name="fnref2:2"/>
      <w:bookmarkEnd w:id="10"/>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Tools and Resources to Support Consistent Application</w:t>
      </w:r>
    </w:p>
    <w:p>
      <w:pPr>
        <w:spacing w:line="360" w:after="210" w:lineRule="auto"/>
      </w:pPr>
      <w:r>
        <w:rPr>
          <w:rFonts w:eastAsia="inter" w:cs="inter" w:ascii="inter" w:hAnsi="inter"/>
          <w:color w:val="000000"/>
        </w:rPr>
        <w:t xml:space="preserve">To apply these Bible study methods consistently, consider using:</w:t>
      </w:r>
    </w:p>
    <w:p>
      <w:pPr>
        <w:numPr>
          <w:ilvl w:val="0"/>
          <w:numId w:val="5"/>
        </w:numPr>
        <w:spacing w:line="360" w:before="105" w:after="105" w:lineRule="auto"/>
      </w:pPr>
      <w:r>
        <w:rPr>
          <w:rFonts w:eastAsia="inter" w:cs="inter" w:ascii="inter" w:hAnsi="inter"/>
          <w:b/>
          <w:color w:val="000000"/>
          <w:sz w:val="21"/>
        </w:rPr>
        <w:t xml:space="preserve">Study Bibles:</w:t>
      </w:r>
      <w:r>
        <w:rPr>
          <w:rFonts w:eastAsia="inter" w:cs="inter" w:ascii="inter" w:hAnsi="inter"/>
          <w:color w:val="000000"/>
          <w:sz w:val="21"/>
        </w:rPr>
        <w:t xml:space="preserve"> Provide notes, cross-references, and background information.</w:t>
      </w:r>
    </w:p>
    <w:p>
      <w:pPr>
        <w:numPr>
          <w:ilvl w:val="0"/>
          <w:numId w:val="5"/>
        </w:numPr>
        <w:spacing w:line="360" w:before="105" w:after="105" w:lineRule="auto"/>
      </w:pPr>
      <w:r>
        <w:rPr>
          <w:rFonts w:eastAsia="inter" w:cs="inter" w:ascii="inter" w:hAnsi="inter"/>
          <w:b/>
          <w:color w:val="000000"/>
          <w:sz w:val="21"/>
        </w:rPr>
        <w:t xml:space="preserve">Bible Apps:</w:t>
      </w:r>
      <w:r>
        <w:rPr>
          <w:rFonts w:eastAsia="inter" w:cs="inter" w:ascii="inter" w:hAnsi="inter"/>
          <w:color w:val="000000"/>
          <w:sz w:val="21"/>
        </w:rPr>
        <w:t xml:space="preserve"> Tools like Logos, Blue Letter Bible, and YouVersion offer access to multiple translations, dictionaries, and commentaries.</w:t>
      </w:r>
    </w:p>
    <w:p>
      <w:pPr>
        <w:numPr>
          <w:ilvl w:val="0"/>
          <w:numId w:val="5"/>
        </w:numPr>
        <w:spacing w:line="360" w:before="105" w:after="105" w:lineRule="auto"/>
      </w:pPr>
      <w:r>
        <w:rPr>
          <w:rFonts w:eastAsia="inter" w:cs="inter" w:ascii="inter" w:hAnsi="inter"/>
          <w:b/>
          <w:color w:val="000000"/>
          <w:sz w:val="21"/>
        </w:rPr>
        <w:t xml:space="preserve">Journals and Worksheets:</w:t>
      </w:r>
      <w:r>
        <w:rPr>
          <w:rFonts w:eastAsia="inter" w:cs="inter" w:ascii="inter" w:hAnsi="inter"/>
          <w:color w:val="000000"/>
          <w:sz w:val="21"/>
        </w:rPr>
        <w:t xml:space="preserve"> Dedicated notebooks or printable templates for SOAP, inductive study, and verse mapping help organize your thoughts and track progress.</w:t>
      </w:r>
    </w:p>
    <w:p>
      <w:pPr>
        <w:numPr>
          <w:ilvl w:val="0"/>
          <w:numId w:val="5"/>
        </w:numPr>
        <w:spacing w:line="360" w:before="105" w:after="105" w:lineRule="auto"/>
      </w:pPr>
      <w:r>
        <w:rPr>
          <w:rFonts w:eastAsia="inter" w:cs="inter" w:ascii="inter" w:hAnsi="inter"/>
          <w:b/>
          <w:color w:val="000000"/>
          <w:sz w:val="21"/>
        </w:rPr>
        <w:t xml:space="preserve">Concordances and Bible Dictionaries:</w:t>
      </w:r>
      <w:r>
        <w:rPr>
          <w:rFonts w:eastAsia="inter" w:cs="inter" w:ascii="inter" w:hAnsi="inter"/>
          <w:color w:val="000000"/>
          <w:sz w:val="21"/>
        </w:rPr>
        <w:t xml:space="preserve"> Essential for word studies and understanding original meanings.</w:t>
      </w:r>
    </w:p>
    <w:p>
      <w:pPr>
        <w:numPr>
          <w:ilvl w:val="0"/>
          <w:numId w:val="5"/>
        </w:numPr>
        <w:spacing w:line="360" w:before="105" w:after="105" w:lineRule="auto"/>
      </w:pPr>
      <w:r>
        <w:rPr>
          <w:rFonts w:eastAsia="inter" w:cs="inter" w:ascii="inter" w:hAnsi="inter"/>
          <w:b/>
          <w:color w:val="000000"/>
          <w:sz w:val="21"/>
        </w:rPr>
        <w:t xml:space="preserve">Online Resources:</w:t>
      </w:r>
      <w:r>
        <w:rPr>
          <w:rFonts w:eastAsia="inter" w:cs="inter" w:ascii="inter" w:hAnsi="inter"/>
          <w:color w:val="000000"/>
          <w:sz w:val="21"/>
        </w:rPr>
        <w:t xml:space="preserve"> Websites with study guides, devotionals, and method-specific tutorials</w:t>
      </w:r>
      <w:bookmarkStart w:id="11" w:name="fnref1:3"/>
      <w:bookmarkEnd w:id="11"/>
      <w:hyperlink w:anchor="fn1">
        <w:r>
          <w:rPr>
            <w:rFonts w:eastAsia="inter" w:cs="inter" w:ascii="inter" w:hAnsi="inter"/>
            <w:color w:val="#000"/>
            <w:sz w:val="21"/>
            <w:u w:val="single"/>
            <w:vertAlign w:val="superscript"/>
          </w:rPr>
          <w:t xml:space="preserve">[1]</w:t>
        </w:r>
      </w:hyperlink>
      <w:bookmarkStart w:id="12" w:name="fnref2:3"/>
      <w:bookmarkEnd w:id="12"/>
      <w:hyperlink w:anchor="fn2">
        <w:r>
          <w:rPr>
            <w:rFonts w:eastAsia="inter" w:cs="inter" w:ascii="inter" w:hAnsi="inter"/>
            <w:color w:val="#000"/>
            <w:sz w:val="21"/>
            <w:u w:val="single"/>
            <w:vertAlign w:val="superscript"/>
          </w:rPr>
          <w:t xml:space="preserve">[2]</w:t>
        </w:r>
      </w:hyperlink>
      <w:bookmarkStart w:id="13" w:name="fnref5:2"/>
      <w:bookmarkEnd w:id="1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Combining these resources with a regular study routine will help you engage deeply and consistently with Scripture, making Bible study both fruitful and sustainable.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4" w:name="fn1"/>
    <w:bookmarkEnd w:id="14"/>
    <w:p>
      <w:pPr>
        <w:numPr>
          <w:ilvl w:val="0"/>
          <w:numId w:val="7"/>
        </w:numPr>
        <w:spacing w:line="360" w:after="210" w:lineRule="auto"/>
      </w:pPr>
      <w:hyperlink r:id="rId6">
        <w:r>
          <w:rPr>
            <w:rFonts w:eastAsia="inter" w:cs="inter" w:ascii="inter" w:hAnsi="inter"/>
            <w:color w:val="#000"/>
            <w:sz w:val="18"/>
            <w:u w:val="single"/>
          </w:rPr>
          <w:t xml:space="preserve">https://www.biblegateway.com/learn/bible-101/about-the-bible/bible-study-methods/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5" w:name="fn2"/>
    <w:bookmarkEnd w:id="15"/>
    <w:p>
      <w:pPr>
        <w:numPr>
          <w:ilvl w:val="0"/>
          <w:numId w:val="7"/>
        </w:numPr>
        <w:spacing w:line="360" w:after="210" w:lineRule="auto"/>
      </w:pPr>
      <w:hyperlink r:id="rId7">
        <w:r>
          <w:rPr>
            <w:rFonts w:eastAsia="inter" w:cs="inter" w:ascii="inter" w:hAnsi="inter"/>
            <w:color w:val="#000"/>
            <w:sz w:val="18"/>
            <w:u w:val="single"/>
          </w:rPr>
          <w:t xml:space="preserve">https://www.biblejournalclasses.com/blog/top-ten-bible-study-methods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6" w:name="fn3"/>
    <w:bookmarkEnd w:id="16"/>
    <w:p>
      <w:pPr>
        <w:numPr>
          <w:ilvl w:val="0"/>
          <w:numId w:val="7"/>
        </w:numPr>
        <w:spacing w:line="360" w:after="210" w:lineRule="auto"/>
      </w:pPr>
      <w:hyperlink r:id="rId8">
        <w:r>
          <w:rPr>
            <w:rFonts w:eastAsia="inter" w:cs="inter" w:ascii="inter" w:hAnsi="inter"/>
            <w:color w:val="#000"/>
            <w:sz w:val="18"/>
            <w:u w:val="single"/>
          </w:rPr>
          <w:t xml:space="preserve">https://lovegodgreatly.com/how-to-soap/</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7" w:name="fn4"/>
    <w:bookmarkEnd w:id="17"/>
    <w:p>
      <w:pPr>
        <w:numPr>
          <w:ilvl w:val="0"/>
          <w:numId w:val="7"/>
        </w:numPr>
        <w:spacing w:line="360" w:after="210" w:lineRule="auto"/>
      </w:pPr>
      <w:hyperlink r:id="rId9">
        <w:r>
          <w:rPr>
            <w:rFonts w:eastAsia="inter" w:cs="inter" w:ascii="inter" w:hAnsi="inter"/>
            <w:color w:val="#000"/>
            <w:sz w:val="18"/>
            <w:u w:val="single"/>
          </w:rPr>
          <w:t xml:space="preserve">https://www.cupstocrowns.com/blog/verse-mapping</w:t>
        </w:r>
      </w:hyperlink>
      <w:r>
        <w:rPr>
          <w:rFonts w:eastAsia="inter" w:cs="inter" w:ascii="inter" w:hAnsi="inter"/>
          <w:color w:val="000000"/>
          <w:sz w:val="18"/>
        </w:rPr>
        <w:t xml:space="preserve"> </w:t>
      </w:r>
    </w:p>
    <w:bookmarkStart w:id="18" w:name="fn5"/>
    <w:bookmarkEnd w:id="18"/>
    <w:p>
      <w:pPr>
        <w:numPr>
          <w:ilvl w:val="0"/>
          <w:numId w:val="7"/>
        </w:numPr>
        <w:spacing w:line="360" w:after="210" w:lineRule="auto"/>
      </w:pPr>
      <w:hyperlink r:id="rId10">
        <w:r>
          <w:rPr>
            <w:rFonts w:eastAsia="inter" w:cs="inter" w:ascii="inter" w:hAnsi="inter"/>
            <w:color w:val="#000"/>
            <w:sz w:val="18"/>
            <w:u w:val="single"/>
          </w:rPr>
          <w:t xml:space="preserve">https://www.estherdorotik.net/blog/verse-mapping-everything-you-need-to-start/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abstractNum>
  <w:abstractNum w:abstractNumId="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80b8433188532d67c4c34f43d778404b45aa4b7.png" TargetMode="Internal"/><Relationship Id="rId6" Type="http://schemas.openxmlformats.org/officeDocument/2006/relationships/hyperlink" Target="https://www.biblegateway.com/learn/bible-101/about-the-bible/bible-study-methods/" TargetMode="External"/><Relationship Id="rId7" Type="http://schemas.openxmlformats.org/officeDocument/2006/relationships/hyperlink" Target="https://www.biblejournalclasses.com/blog/top-ten-bible-study-methods" TargetMode="External"/><Relationship Id="rId8" Type="http://schemas.openxmlformats.org/officeDocument/2006/relationships/hyperlink" Target="https://lovegodgreatly.com/how-to-soap/" TargetMode="External"/><Relationship Id="rId9" Type="http://schemas.openxmlformats.org/officeDocument/2006/relationships/hyperlink" Target="https://www.cupstocrowns.com/blog/verse-mapping" TargetMode="External"/><Relationship Id="rId10" Type="http://schemas.openxmlformats.org/officeDocument/2006/relationships/hyperlink" Target="https://www.estherdorotik.net/blog/verse-mapping-everything-you-need-to-star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2025-06-05T21:28:17.512Z</dcterms:created>
  <dcterms:modified xsi:type="dcterms:W3CDTF">2025-06-05T21:28:17.512Z</dcterms:modified>
</cp:coreProperties>
</file>