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D1F33"/>
                <w:sz w:val="52"/>
                <w:szCs w:val="52"/>
              </w:rPr>
              <w:t xml:space="preserve">DOUG TEACHEY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3A5C"/>
                <w:sz w:val="19"/>
                <w:szCs w:val="19"/>
              </w:rPr>
              <w:t xml:space="preserve">SAP Business Transformation  |  Practice Builder  |  Growth Executive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D5266"/>
                <w:sz w:val="18"/>
                <w:szCs w:val="18"/>
              </w:rPr>
              <w:t xml:space="preserve">404.384.9397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3D5266"/>
                <w:sz w:val="18"/>
                <w:szCs w:val="18"/>
              </w:rPr>
              <w:t xml:space="preserve">dteachey@gmail.com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3D5266"/>
                <w:sz w:val="18"/>
                <w:szCs w:val="18"/>
              </w:rPr>
              <w:t xml:space="preserve">Atlanta, GA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3A5C"/>
                <w:sz w:val="17"/>
                <w:szCs w:val="17"/>
              </w:rPr>
              <w:t xml:space="preserve">linkedin.com/in/dougteachey</w:t>
            </w:r>
          </w:p>
        </w:tc>
      </w:tr>
    </w:tbl>
    <w:p>
      <w:pPr>
        <w:pBdr>
          <w:bottom w:val="single" w:color="1A3A5C" w:sz="12" w:space="1"/>
        </w:pBdr>
        <w:spacing w:after="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pacing w:val="100"/>
          <w:sz w:val="18"/>
          <w:szCs w:val="18"/>
        </w:rPr>
        <w:t xml:space="preserve">EXECUTIVE SUMMARY</w:t>
      </w:r>
    </w:p>
    <w:p>
      <w:pPr>
        <w:spacing w:after="100" w:before="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SAP Business Transformation executive with a proven track record of </w:t>
      </w:r>
      <w:r>
        <w:rPr>
          <w:rFonts w:ascii="Arial" w:cs="Arial" w:eastAsia="Arial" w:hAnsi="Arial"/>
          <w:b/>
          <w:bCs/>
          <w:color w:val="0D1F33"/>
          <w:sz w:val="19"/>
          <w:szCs w:val="19"/>
        </w:rPr>
        <w:t xml:space="preserve">building consulting practices from zero.</w:t>
      </w:r>
      <w:r>
        <w:rPr>
          <w:rFonts w:ascii="Arial" w:cs="Arial" w:eastAsia="Arial" w:hAnsi="Arial"/>
          <w:color w:val="3D5266"/>
          <w:sz w:val="19"/>
          <w:szCs w:val="19"/>
        </w:rPr>
        <w:t xml:space="preserve"> Conceived, launched, and scaled ISG’s Training as a Service practice from concept to </w:t>
      </w:r>
      <w:r>
        <w:rPr>
          <w:rFonts w:ascii="Arial" w:cs="Arial" w:eastAsia="Arial" w:hAnsi="Arial"/>
          <w:b/>
          <w:bCs/>
          <w:color w:val="0D1F33"/>
          <w:sz w:val="19"/>
          <w:szCs w:val="19"/>
        </w:rPr>
        <w:t xml:space="preserve">$14M+ in annual recurring revenue</w:t>
      </w:r>
      <w:r>
        <w:rPr>
          <w:rFonts w:ascii="Arial" w:cs="Arial" w:eastAsia="Arial" w:hAnsi="Arial"/>
          <w:color w:val="3D5266"/>
          <w:sz w:val="19"/>
          <w:szCs w:val="19"/>
        </w:rPr>
        <w:t xml:space="preserve"> with a 60+ person global team — the firm’s fastest-growing practice. 25+ years of SAP BTM delivery across Deloitte, Coca-Cola, CRH Americas, and ISG, with </w:t>
      </w:r>
      <w:r>
        <w:rPr>
          <w:rFonts w:ascii="Arial" w:cs="Arial" w:eastAsia="Arial" w:hAnsi="Arial"/>
          <w:b/>
          <w:bCs/>
          <w:color w:val="0D1F33"/>
          <w:sz w:val="19"/>
          <w:szCs w:val="19"/>
        </w:rPr>
        <w:t xml:space="preserve">$4B+ in successful projects</w:t>
      </w:r>
      <w:r>
        <w:rPr>
          <w:rFonts w:ascii="Arial" w:cs="Arial" w:eastAsia="Arial" w:hAnsi="Arial"/>
          <w:color w:val="3D5266"/>
          <w:sz w:val="19"/>
          <w:szCs w:val="19"/>
        </w:rPr>
        <w:t xml:space="preserve"> and 75,000+ end-users enabled. Deep expertise in OCM, SAP Enable Now, digital adoption platforms, and AI-powered learning.</w:t>
      </w:r>
    </w:p>
    <w:p>
      <w:pPr>
        <w:pBdr>
          <w:bottom w:val="single" w:color="C8D4DF" w:sz="4" w:space="1"/>
        </w:pBd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pacing w:val="100"/>
          <w:sz w:val="18"/>
          <w:szCs w:val="18"/>
        </w:rPr>
        <w:t xml:space="preserve">SIGNATURE 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Built ISG’s TaaS practice from ideation to $14M+ ARR with 98% year-over-year growth, including closing the largest consulting services contract in ISG’s history.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Led OCM and learning for the $15B Coca-Cola North American bottling refranchising — the largest SAP implementation in Coke history. Enabled 75,000+ users across 30+ companies, reducing transition costs by $19M+.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25+ years SAP BTM delivery at Deloitte (Merck SAP Financials, Home Depot SAP International, Coca-Cola Enterprise SAP), CRH Americas (S/4HANA M&amp;A), and Change Advisors (SAP EAM Fiori, top-3 U.S. rail).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Operationalized AI-powered SAP delivery model (SAP Enable Now, WalkMe, generative AI) — reducing client SME reliance 50%+ and accelerating go-lives up to 75%.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Published thought leader (Training Industry Magazine) and keynote speaker (DevLearn, Chief Learning Officer Symposium).</w:t>
      </w:r>
    </w:p>
    <w:p>
      <w:pPr>
        <w:pBdr>
          <w:bottom w:val="single" w:color="C8D4DF" w:sz="4" w:space="1"/>
        </w:pBd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pacing w:val="100"/>
          <w:sz w:val="18"/>
          <w:szCs w:val="18"/>
        </w:rPr>
        <w:t xml:space="preserve">PROFESSIONAL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0D1F33"/>
                <w:sz w:val="21"/>
                <w:szCs w:val="21"/>
              </w:rPr>
              <w:t xml:space="preserve">ISG (Information Services Group)</w:t>
            </w:r>
            <w:r>
              <w:rPr>
                <w:rFonts w:ascii="Arial" w:cs="Arial" w:eastAsia="Arial" w:hAnsi="Arial"/>
                <w:color w:val="8A9DB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A6E82"/>
                <w:sz w:val="19"/>
                <w:szCs w:val="19"/>
              </w:rPr>
              <w:t xml:space="preserve">Global Partner — TaaS Practice Leader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2019 – Present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5A6E82"/>
          <w:sz w:val="19"/>
          <w:szCs w:val="19"/>
        </w:rPr>
        <w:t xml:space="preserve">Conceived, launched, and lead ISG’s Training as a Service practice — a managed SAP learning and adoption business serving Fortune 500 clients across banking, financial services, healthcare, manufacturing, defense, and retail.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Partner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60"/>
              <w:jc w:val="right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2025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Lead all aspects of practice strategy, P&amp;L, client acquisition, and delivery for a $14M+ ARR business with 60+ global team members.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Architect and close multimillion-dollar SAP BTM engagements with Bank of America, Lockheed Martin, General Motors, Delta, and CHS.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Drive GTM strategy for SAP Enable Now, WalkMe, Userlane, and SAP Companion — differentiating ISG’s SAP delivery with AI-powered adoption.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Director, TaaS Solution Global Lead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60"/>
              <w:jc w:val="right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2023 –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Scaled practice 5x headcount, 600% revenue growth — ISG’s fastest-growing business.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Operationalized AI-powered SAP delivery model reducing SME reliance 50%+ and accelerating go-lives 75%.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Director, Enterprise Change Practice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60"/>
              <w:jc w:val="right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2019 –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Identified managed SAP learning opportunity, built business case, launched TaaS — grew practice revenue 3x.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0D1F33"/>
                <w:sz w:val="21"/>
                <w:szCs w:val="21"/>
              </w:rPr>
              <w:t xml:space="preserve">Ascent Labs</w:t>
            </w:r>
            <w:r>
              <w:rPr>
                <w:rFonts w:ascii="Arial" w:cs="Arial" w:eastAsia="Arial" w:hAnsi="Arial"/>
                <w:color w:val="8A9DB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A6E82"/>
                <w:sz w:val="19"/>
                <w:szCs w:val="19"/>
              </w:rPr>
              <w:t xml:space="preserve">Co-Founder &amp; Board Member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2025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Co-founded AI software company with four products in market: decision intelligence, knowledge capture, and workforce capability analytics.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0D1F33"/>
                <w:sz w:val="21"/>
                <w:szCs w:val="21"/>
              </w:rPr>
              <w:t xml:space="preserve">Change Advisors, LLC</w:t>
            </w:r>
            <w:r>
              <w:rPr>
                <w:rFonts w:ascii="Arial" w:cs="Arial" w:eastAsia="Arial" w:hAnsi="Arial"/>
                <w:color w:val="8A9DB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A6E82"/>
                <w:sz w:val="19"/>
                <w:szCs w:val="19"/>
              </w:rPr>
              <w:t xml:space="preserve">Founder &amp; VP of Consulting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2019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Founded independent consulting firm specializing in OCM and learning for complex SAP rollouts.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Led OCM and training for top-3 U.S. rail company migrating 20-year legacy system to SAP EAM Fiori, enabling 400+ daily train operations.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0D1F33"/>
                <w:sz w:val="21"/>
                <w:szCs w:val="21"/>
              </w:rPr>
              <w:t xml:space="preserve">CRH Americas Materials</w:t>
            </w:r>
            <w:r>
              <w:rPr>
                <w:rFonts w:ascii="Arial" w:cs="Arial" w:eastAsia="Arial" w:hAnsi="Arial"/>
                <w:color w:val="8A9DB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A6E82"/>
                <w:sz w:val="19"/>
                <w:szCs w:val="19"/>
              </w:rPr>
              <w:t xml:space="preserve">Director, OCM, Communications, Learning &amp; Implementation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2017 – 2019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Built OCM and Learning function for 25,000+ employee, 300+ company decentralized environment.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Change and learning strategies for SAP S/4HANA implementations supporting M&amp;A integration of two acquired companies.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Led national Office 365 consolidation across 300+ companies and five CIOs.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0D1F33"/>
                <w:sz w:val="21"/>
                <w:szCs w:val="21"/>
              </w:rPr>
              <w:t xml:space="preserve">The Coca-Cola Company</w:t>
            </w:r>
            <w:r>
              <w:rPr>
                <w:rFonts w:ascii="Arial" w:cs="Arial" w:eastAsia="Arial" w:hAnsi="Arial"/>
                <w:color w:val="8A9DB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A6E82"/>
                <w:sz w:val="19"/>
                <w:szCs w:val="19"/>
              </w:rPr>
              <w:t xml:space="preserve">Director, Learning &amp; Development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2013 – 2017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Led OCM and learning for the $15B North American Coca-Cola bottling system refranchising on SAP — 75,000+ users, 30+ companies, $19M+ in cost savings.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Launched two independent bottler market units (4,000+ users in under 6 months).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Built “CONA Academy,” corporate learning university serving 55,000+ associates across 20+ independent bottlers.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0D1F33"/>
                <w:sz w:val="21"/>
                <w:szCs w:val="21"/>
              </w:rPr>
              <w:t xml:space="preserve">The Coca-Cola Company</w:t>
            </w:r>
            <w:r>
              <w:rPr>
                <w:rFonts w:ascii="Arial" w:cs="Arial" w:eastAsia="Arial" w:hAnsi="Arial"/>
                <w:color w:val="8A9DB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A6E82"/>
                <w:sz w:val="19"/>
                <w:szCs w:val="19"/>
              </w:rPr>
              <w:t xml:space="preserve">Sr. Manager, L&amp;D — Product Supply &amp; Supply Chain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2009 – 2012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SAP enterprise learning for 65,000+ associates across 350 distribution centers and 65 production plants. $5M+ annual budget, 100+ concurrent projects.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Arial" w:cs="Arial" w:eastAsia="Arial" w:hAnsi="Arial"/>
                <w:b/>
                <w:bCs/>
                <w:color w:val="0D1F33"/>
                <w:sz w:val="21"/>
                <w:szCs w:val="21"/>
              </w:rPr>
              <w:t xml:space="preserve">Coca-Cola Enterprises</w:t>
            </w:r>
            <w:r>
              <w:rPr>
                <w:rFonts w:ascii="Arial" w:cs="Arial" w:eastAsia="Arial" w:hAnsi="Arial"/>
                <w:color w:val="8A9DB0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A6E82"/>
                <w:sz w:val="19"/>
                <w:szCs w:val="19"/>
              </w:rPr>
              <w:t xml:space="preserve">Sr. Manager, L&amp;D — Global IT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2008 – 2009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D5266"/>
          <w:sz w:val="19"/>
          <w:szCs w:val="19"/>
        </w:rPr>
        <w:t xml:space="preserve">Competency-based learning solution for 800-person global IT org (US &amp; Europe). 200% ROI, 4.8/5.0 satisfaction. $12M+ global vendor model.</w:t>
      </w:r>
    </w:p>
    <w:p>
      <w:pPr>
        <w:pBdr>
          <w:bottom w:val="single" w:color="C8D4DF" w:sz="4" w:space="1"/>
        </w:pBd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pacing w:val="100"/>
          <w:sz w:val="18"/>
          <w:szCs w:val="18"/>
        </w:rPr>
        <w:t xml:space="preserve">EARLIER CAREER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Cox Enterprises</w:t>
            </w:r>
            <w:r>
              <w:rPr>
                <w:rFonts w:ascii="Arial" w:cs="Arial" w:eastAsia="Arial" w:hAnsi="Arial"/>
                <w:color w:val="3D5266"/>
                <w:sz w:val="18"/>
                <w:szCs w:val="18"/>
              </w:rPr>
              <w:t xml:space="preserve">  |  OCM &amp; Learning COE Creator</w:t>
            </w:r>
            <w:r>
              <w:rPr>
                <w:rFonts w:ascii="Arial" w:cs="Arial" w:eastAsia="Arial" w:hAnsi="Arial"/>
                <w:color w:val="5A6E82"/>
                <w:sz w:val="17"/>
                <w:szCs w:val="17"/>
              </w:rPr>
              <w:t xml:space="preserve">   2005–2008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Established OCM &amp; Learning COE to deploy shared SAP platform across multiple metro newspapers.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VF Corporation</w:t>
            </w:r>
            <w:r>
              <w:rPr>
                <w:rFonts w:ascii="Arial" w:cs="Arial" w:eastAsia="Arial" w:hAnsi="Arial"/>
                <w:color w:val="3D5266"/>
                <w:sz w:val="18"/>
                <w:szCs w:val="18"/>
              </w:rPr>
              <w:t xml:space="preserve">  |  Change Leadership Specialist</w:t>
            </w:r>
            <w:r>
              <w:rPr>
                <w:rFonts w:ascii="Arial" w:cs="Arial" w:eastAsia="Arial" w:hAnsi="Arial"/>
                <w:color w:val="5A6E82"/>
                <w:sz w:val="17"/>
                <w:szCs w:val="17"/>
              </w:rPr>
              <w:t xml:space="preserve">   1999–2001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OCM and communications for BPR across three divisions of the world’s largest apparel manufacturer (4,000+ users).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Deloitte Consulting</w:t>
            </w:r>
            <w:r>
              <w:rPr>
                <w:rFonts w:ascii="Arial" w:cs="Arial" w:eastAsia="Arial" w:hAnsi="Arial"/>
                <w:color w:val="3D5266"/>
                <w:sz w:val="18"/>
                <w:szCs w:val="18"/>
              </w:rPr>
              <w:t xml:space="preserve">  |  Sr. Consultant, Change Leadership &amp; Learning  |  SAP OCM: Merck, The Home Depot, The Coca-Cola Company, AT&amp;T, State of Florida</w:t>
            </w:r>
            <w:r>
              <w:rPr>
                <w:rFonts w:ascii="Arial" w:cs="Arial" w:eastAsia="Arial" w:hAnsi="Arial"/>
                <w:color w:val="5A6E82"/>
                <w:sz w:val="17"/>
                <w:szCs w:val="17"/>
              </w:rPr>
              <w:t xml:space="preserve">   2004–2005</w:t>
            </w:r>
          </w:p>
        </w:tc>
      </w:tr>
    </w:tbl>
    <w:p>
      <w:pPr>
        <w:pBdr>
          <w:bottom w:val="single" w:color="C8D4DF" w:sz="4" w:space="1"/>
        </w:pBd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pacing w:val="100"/>
          <w:sz w:val="18"/>
          <w:szCs w:val="18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MBA</w:t>
            </w:r>
            <w:r>
              <w:rPr>
                <w:rFonts w:ascii="Arial" w:cs="Arial" w:eastAsia="Arial" w:hAnsi="Arial"/>
                <w:color w:val="3D5266"/>
                <w:sz w:val="19"/>
                <w:szCs w:val="19"/>
              </w:rPr>
              <w:t xml:space="preserve">  —  University of Georgia, Terry College of Business</w:t>
            </w:r>
            <w:r>
              <w:rPr>
                <w:rFonts w:ascii="Arial" w:cs="Arial" w:eastAsia="Arial" w:hAnsi="Arial"/>
                <w:color w:val="5A6E82"/>
                <w:sz w:val="18"/>
                <w:szCs w:val="18"/>
              </w:rPr>
              <w:t xml:space="preserve">   2010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D1F33"/>
                <w:sz w:val="19"/>
                <w:szCs w:val="19"/>
              </w:rPr>
              <w:t xml:space="preserve">BA, Organizational Communication &amp; Change Management</w:t>
            </w:r>
            <w:r>
              <w:rPr>
                <w:rFonts w:ascii="Arial" w:cs="Arial" w:eastAsia="Arial" w:hAnsi="Arial"/>
                <w:color w:val="3D5266"/>
                <w:sz w:val="19"/>
                <w:szCs w:val="19"/>
              </w:rPr>
              <w:t xml:space="preserve">  —  UNC Greensboro</w:t>
            </w:r>
          </w:p>
        </w:tc>
      </w:tr>
    </w:tbl>
    <w:p>
      <w:pPr>
        <w:pBdr>
          <w:bottom w:val="single" w:color="C8D4DF" w:sz="4" w:space="1"/>
        </w:pBd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pacing w:val="100"/>
          <w:sz w:val="18"/>
          <w:szCs w:val="18"/>
        </w:rPr>
        <w:t xml:space="preserve">SPEAKING &amp; PUBLICATIONS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0D1F33"/>
          <w:sz w:val="19"/>
          <w:szCs w:val="19"/>
        </w:rPr>
        <w:t xml:space="preserve">Training Industry Magazine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 —  How Coca-Cola Leveraged Learning and Development to Power its Business Transformation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0D1F33"/>
          <w:sz w:val="19"/>
          <w:szCs w:val="19"/>
        </w:rPr>
        <w:t xml:space="preserve">DevLearn Conference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 —  Coke’s Strategy: Shifting 66,000 Employees from Training to Performance Support</w:t>
      </w:r>
    </w:p>
    <w:p>
      <w:pPr>
        <w:spacing w:after="30" w:before="20"/>
      </w:pPr>
      <w:r>
        <w:rPr>
          <w:rFonts w:ascii="Arial" w:cs="Arial" w:eastAsia="Arial" w:hAnsi="Arial"/>
          <w:b/>
          <w:bCs/>
          <w:color w:val="0D1F33"/>
          <w:sz w:val="19"/>
          <w:szCs w:val="19"/>
        </w:rPr>
        <w:t xml:space="preserve">Chief Learning Officer Symposium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 —  Targeting Coca-Cola’s 50,000 Dispersed Learners Through One Virtual Environment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2026-04-24T06:32:09.819Z</dcterms:created>
  <dcterms:modified xsi:type="dcterms:W3CDTF">2026-04-24T06:32:09.819Z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