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3A5C"/>
          <w:spacing w:val="120"/>
          <w:sz w:val="17"/>
          <w:szCs w:val="17"/>
        </w:rPr>
        <w:t xml:space="preserve">CONFIDENTIAL BUSINESS CASE</w:t>
      </w:r>
    </w:p>
    <w:p>
      <w:r>
        <w:rPr>
          <w:rFonts w:ascii="Arial" w:cs="Arial" w:eastAsia="Arial" w:hAnsi="Arial"/>
          <w:b/>
          <w:bCs/>
          <w:color w:val="0D1F33"/>
          <w:sz w:val="40"/>
          <w:szCs w:val="40"/>
        </w:rPr>
        <w:t xml:space="preserve">Building a Winning SAP Business Transformation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color w:val="0D1F33"/>
          <w:sz w:val="40"/>
          <w:szCs w:val="40"/>
        </w:rPr>
        <w:t xml:space="preserve">Management (BTM) Practice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A6E82"/>
          <w:sz w:val="19"/>
          <w:szCs w:val="19"/>
        </w:rPr>
        <w:t xml:space="preserve">Prepared by Doug Teachey  —  dteachey@gmail.com  —  April 2026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3A5C" w:sz="16"/>
              <w:bottom w:val="none" w:color="FFFFFF" w:sz="0"/>
              <w:right w:val="none" w:color="FFFFFF" w:sz="0"/>
            </w:tcBorders>
            <w:shd w:fill="EEEA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pacing w:val="80"/>
                <w:sz w:val="17"/>
                <w:szCs w:val="17"/>
              </w:rPr>
              <w:t xml:space="preserve">THE OPPORTUNITY</w:t>
            </w:r>
          </w:p>
          <w:p>
            <w:r>
              <w:rPr>
                <w:rFonts w:ascii="Arial" w:cs="Arial" w:eastAsia="Arial" w:hAnsi="Arial"/>
                <w:color w:val="0D1F33"/>
                <w:sz w:val="20"/>
                <w:szCs w:val="20"/>
              </w:rPr>
              <w:t xml:space="preserve">SAP’s global S/4HANA migration wave is generating billions in consulting revenue — and the firms winning are those who can deliver the full transformation, not just the technology. A dedicated SAP BTM practice is the differentiator that turns technical delivery into sustainable client outcomes and repeat revenue.</w:t>
            </w:r>
          </w:p>
        </w:tc>
      </w:tr>
    </w:tbl>
    <w:p>
      <w:pPr>
        <w:spacing w:after="0" w:before="120"/>
      </w:pPr>
    </w:p>
    <w:p>
      <w:pPr>
        <w:pBdr>
          <w:bottom w:val="single" w:color="1A3A5C" w:sz="12" w:space="2"/>
        </w:pBdr>
        <w:spacing w:after="120" w:before="300"/>
      </w:pPr>
      <w:r>
        <w:rPr>
          <w:rFonts w:ascii="Arial" w:cs="Arial" w:eastAsia="Arial" w:hAnsi="Arial"/>
          <w:b/>
          <w:bCs/>
          <w:color w:val="0D1F33"/>
          <w:sz w:val="28"/>
          <w:szCs w:val="28"/>
        </w:rPr>
        <w:t xml:space="preserve">1. The Market Opportunity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F33"/>
          <w:sz w:val="22"/>
          <w:szCs w:val="22"/>
        </w:rPr>
        <w:t xml:space="preserve">Why SAP BTM, Why Now</w:t>
      </w:r>
    </w:p>
    <w:p>
      <w:pPr>
        <w:spacing w:after="60" w:before="60"/>
      </w:pPr>
      <w:r>
        <w:rPr>
          <w:rFonts w:ascii="Arial" w:cs="Arial" w:eastAsia="Arial" w:hAnsi="Arial"/>
          <w:color w:val="3D5266"/>
          <w:sz w:val="20"/>
          <w:szCs w:val="20"/>
        </w:rPr>
        <w:t xml:space="preserve">SAP’s mandate to migrate all customers to S/4HANA by 2027 is driving one of the largest waves of enterprise consulting demand in a generation. The vast majority of spend is on technical delivery — but the majority of implementation failures are people failures.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3A5C" w:sz="16"/>
              <w:bottom w:val="none" w:color="FFFFFF" w:sz="0"/>
              <w:right w:val="none" w:color="FFFFFF" w:sz="0"/>
            </w:tcBorders>
            <w:shd w:fill="EEEA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pacing w:val="80"/>
                <w:sz w:val="17"/>
                <w:szCs w:val="17"/>
              </w:rPr>
              <w:t xml:space="preserve">THE CORE PROBLEM</w:t>
            </w:r>
          </w:p>
          <w:p>
            <w:r>
              <w:rPr>
                <w:rFonts w:ascii="Arial" w:cs="Arial" w:eastAsia="Arial" w:hAnsi="Arial"/>
                <w:color w:val="0D1F33"/>
                <w:sz w:val="20"/>
                <w:szCs w:val="20"/>
              </w:rPr>
              <w:t xml:space="preserve">Studies consistently show 70%+ of ERP implementations underperform against business case. The top reasons: poor change management, inadequate training, and low end-user adoption — not technology. Clients are increasingly demanding integrated BTM as part of every SAP engagement.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F33"/>
          <w:sz w:val="22"/>
          <w:szCs w:val="22"/>
        </w:rPr>
        <w:t xml:space="preserve">Market Signals Favoring BTM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33"/>
          <w:sz w:val="20"/>
          <w:szCs w:val="20"/>
        </w:rPr>
        <w:t xml:space="preserve">SAP BTM Certification:  </w:t>
      </w:r>
      <w:r>
        <w:rPr>
          <w:rFonts w:ascii="Arial" w:cs="Arial" w:eastAsia="Arial" w:hAnsi="Arial"/>
          <w:color w:val="3D5266"/>
          <w:sz w:val="20"/>
          <w:szCs w:val="20"/>
        </w:rPr>
        <w:t xml:space="preserve">SAP has invested heavily in its own BTM methodology and certification framework, signaling market legitimacy and a structured path to partnership.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33"/>
          <w:sz w:val="20"/>
          <w:szCs w:val="20"/>
        </w:rPr>
        <w:t xml:space="preserve">Timeline Pressure:  </w:t>
      </w:r>
      <w:r>
        <w:rPr>
          <w:rFonts w:ascii="Arial" w:cs="Arial" w:eastAsia="Arial" w:hAnsi="Arial"/>
          <w:color w:val="3D5266"/>
          <w:sz w:val="20"/>
          <w:szCs w:val="20"/>
        </w:rPr>
        <w:t xml:space="preserve">S/4HANA migration timelines are compressing — clients need proven BTM accelerators, not custom-built programs from scratch every engagement.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33"/>
          <w:sz w:val="20"/>
          <w:szCs w:val="20"/>
        </w:rPr>
        <w:t xml:space="preserve">Mid-Market Gap:  </w:t>
      </w:r>
      <w:r>
        <w:rPr>
          <w:rFonts w:ascii="Arial" w:cs="Arial" w:eastAsia="Arial" w:hAnsi="Arial"/>
          <w:color w:val="3D5266"/>
          <w:sz w:val="20"/>
          <w:szCs w:val="20"/>
        </w:rPr>
        <w:t xml:space="preserve">Mid-market firms are underserved; Big 4 BTM is priced out of reach, creating a clear opening for a nimble, expert-led practice.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33"/>
          <w:sz w:val="20"/>
          <w:szCs w:val="20"/>
        </w:rPr>
        <w:t xml:space="preserve">AI Disruption:  </w:t>
      </w:r>
      <w:r>
        <w:rPr>
          <w:rFonts w:ascii="Arial" w:cs="Arial" w:eastAsia="Arial" w:hAnsi="Arial"/>
          <w:color w:val="3D5266"/>
          <w:sz w:val="20"/>
          <w:szCs w:val="20"/>
        </w:rPr>
        <w:t xml:space="preserve">AI-powered content development and DAPs (SAP Enable Now, WalkMe) create a new generation of BTM capability that agile firms can deliver better than large ones.</w:t>
      </w:r>
    </w:p>
    <w:p>
      <w:pPr>
        <w:pBdr>
          <w:bottom w:val="single" w:color="1A3A5C" w:sz="12" w:space="2"/>
        </w:pBdr>
        <w:spacing w:after="120" w:before="300"/>
      </w:pPr>
      <w:r>
        <w:rPr>
          <w:rFonts w:ascii="Arial" w:cs="Arial" w:eastAsia="Arial" w:hAnsi="Arial"/>
          <w:b/>
          <w:bCs/>
          <w:color w:val="0D1F33"/>
          <w:sz w:val="28"/>
          <w:szCs w:val="28"/>
        </w:rPr>
        <w:t xml:space="preserve">2. Why This Firm. Why Doug Teachey.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F33"/>
          <w:sz w:val="22"/>
          <w:szCs w:val="22"/>
        </w:rPr>
        <w:t xml:space="preserve">The Practice-Building Track Record</w:t>
      </w:r>
    </w:p>
    <w:p>
      <w:pPr>
        <w:spacing w:after="60" w:before="60"/>
      </w:pPr>
      <w:r>
        <w:rPr>
          <w:rFonts w:ascii="Arial" w:cs="Arial" w:eastAsia="Arial" w:hAnsi="Arial"/>
          <w:color w:val="3D5266"/>
          <w:sz w:val="20"/>
          <w:szCs w:val="20"/>
        </w:rPr>
        <w:t xml:space="preserve">I’ve done this before — exactly. In 2019, I identified a whitespace opportunity in managed learning at ISG, built the business case, and launched Training as a Service from zero. By 2024, it was ISG’s fastest-growing practice at $14M+ ARR with 98% year-over-year growth. I closed the largest consulting contract in ISG’s history. I know how to build a practice because I’ve built one.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F33"/>
          <w:sz w:val="22"/>
          <w:szCs w:val="22"/>
        </w:rPr>
        <w:t xml:space="preserve">25+ Years of SAP BTM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33"/>
          <w:sz w:val="20"/>
          <w:szCs w:val="20"/>
        </w:rPr>
        <w:t xml:space="preserve">Coca-Cola (Director, L&amp;D):  </w:t>
      </w:r>
      <w:r>
        <w:rPr>
          <w:rFonts w:ascii="Arial" w:cs="Arial" w:eastAsia="Arial" w:hAnsi="Arial"/>
          <w:color w:val="3D5266"/>
          <w:sz w:val="20"/>
          <w:szCs w:val="20"/>
        </w:rPr>
        <w:t xml:space="preserve">Led OCM and learning for the $15B Coca-Cola North American bottling refranchising — the largest SAP implementation in Coke history. 75,000+ users. 30+ companies. $19M+ in savings.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33"/>
          <w:sz w:val="20"/>
          <w:szCs w:val="20"/>
        </w:rPr>
        <w:t xml:space="preserve">Deloitte Consulting:  </w:t>
      </w:r>
      <w:r>
        <w:rPr>
          <w:rFonts w:ascii="Arial" w:cs="Arial" w:eastAsia="Arial" w:hAnsi="Arial"/>
          <w:color w:val="3D5266"/>
          <w:sz w:val="20"/>
          <w:szCs w:val="20"/>
        </w:rPr>
        <w:t xml:space="preserve">SAP OCM and learning for Merck (SAP Financials), The Home Depot (SAP International), and The Coca-Cola Company (Enterprise SAP). Top performer. $20M+ in client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33"/>
          <w:sz w:val="20"/>
          <w:szCs w:val="20"/>
        </w:rPr>
        <w:t xml:space="preserve">CRH Americas Materials:  </w:t>
      </w:r>
      <w:r>
        <w:rPr>
          <w:rFonts w:ascii="Arial" w:cs="Arial" w:eastAsia="Arial" w:hAnsi="Arial"/>
          <w:color w:val="3D5266"/>
          <w:sz w:val="20"/>
          <w:szCs w:val="20"/>
        </w:rPr>
        <w:t xml:space="preserve">Change and learning strategies for SAP S/4HANA implementations supporting M&amp;A integration across 25,000+ employees and 300+ companies.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33"/>
          <w:sz w:val="20"/>
          <w:szCs w:val="20"/>
        </w:rPr>
        <w:t xml:space="preserve">Change Advisors LLC:  </w:t>
      </w:r>
      <w:r>
        <w:rPr>
          <w:rFonts w:ascii="Arial" w:cs="Arial" w:eastAsia="Arial" w:hAnsi="Arial"/>
          <w:color w:val="3D5266"/>
          <w:sz w:val="20"/>
          <w:szCs w:val="20"/>
        </w:rPr>
        <w:t xml:space="preserve">OCM and training for a top-3 U.S. rail company migrating from a 20-year legacy system to SAP EAM Fiori, enabling 400+ daily train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33"/>
          <w:sz w:val="20"/>
          <w:szCs w:val="20"/>
        </w:rPr>
        <w:t xml:space="preserve">ISG / TaaS Practice:  </w:t>
      </w:r>
      <w:r>
        <w:rPr>
          <w:rFonts w:ascii="Arial" w:cs="Arial" w:eastAsia="Arial" w:hAnsi="Arial"/>
          <w:color w:val="3D5266"/>
          <w:sz w:val="20"/>
          <w:szCs w:val="20"/>
        </w:rPr>
        <w:t xml:space="preserve">GTM strategy for SAP Enable Now, WalkMe, and Userlane — reducing SME reliance 50%+ and accelerating go-lives by up to 75%.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F33"/>
          <w:sz w:val="22"/>
          <w:szCs w:val="22"/>
        </w:rPr>
        <w:t xml:space="preserve">What I Bring on Day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5266"/>
          <w:sz w:val="20"/>
          <w:szCs w:val="20"/>
        </w:rPr>
        <w:t xml:space="preserve">Existing enterprise network at SAP-heavy organizations (Bank of America, Lockheed Martin, General Motors, Delta, Coca-Cola, Home Depot, Merck)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5266"/>
          <w:sz w:val="20"/>
          <w:szCs w:val="20"/>
        </w:rPr>
        <w:t xml:space="preserve">Proven practice-building playbook: GTM framework, delivery model, hiring profile, COE structure, revenue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5266"/>
          <w:sz w:val="20"/>
          <w:szCs w:val="20"/>
        </w:rPr>
        <w:t xml:space="preserve">Deep SAP Enable Now expertise and WalkMe partnership relationships ready to activate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5266"/>
          <w:sz w:val="20"/>
          <w:szCs w:val="20"/>
        </w:rPr>
        <w:t xml:space="preserve">Reusable library of SAP BTM methodology assets, accelerators, and client-facing frameworks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5266"/>
          <w:sz w:val="20"/>
          <w:szCs w:val="20"/>
        </w:rPr>
        <w:t xml:space="preserve">Published thought leadership and speaking credentials that establish market credibility immediately</w:t>
      </w:r>
    </w:p>
    <w:p>
      <w:pPr>
        <w:pBdr>
          <w:bottom w:val="single" w:color="1A3A5C" w:sz="12" w:space="2"/>
        </w:pBdr>
        <w:spacing w:after="120" w:before="300"/>
      </w:pPr>
      <w:r>
        <w:rPr>
          <w:rFonts w:ascii="Arial" w:cs="Arial" w:eastAsia="Arial" w:hAnsi="Arial"/>
          <w:b/>
          <w:bCs/>
          <w:color w:val="0D1F33"/>
          <w:sz w:val="28"/>
          <w:szCs w:val="28"/>
        </w:rPr>
        <w:t xml:space="preserve">3. The Practice Build Plan</w:t>
      </w:r>
    </w:p>
    <w:p>
      <w:pPr>
        <w:spacing w:after="60" w:before="60"/>
      </w:pPr>
      <w:r>
        <w:rPr>
          <w:rFonts w:ascii="Arial" w:cs="Arial" w:eastAsia="Arial" w:hAnsi="Arial"/>
          <w:color w:val="3D5266"/>
          <w:sz w:val="20"/>
          <w:szCs w:val="20"/>
        </w:rPr>
        <w:t xml:space="preserve">Building a BTM practice is a 3-phase effort with clear milestones, investment requirements, and revenue targets at each stage.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A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0D1F33"/>
                <w:sz w:val="20"/>
                <w:szCs w:val="20"/>
              </w:rPr>
              <w:t xml:space="preserve">Foundation &amp; First Revenue  |  </w:t>
            </w: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Months 1–3</w:t>
            </w:r>
          </w:p>
        </w:tc>
      </w:tr>
    </w:tbl>
    <w:tbl>
      <w:tblPr>
        <w:tblW w:type="dxa" w:w="9360"/>
        <w:tblBorders>
          <w:top w:val="single" w:color="C8D4DF" w:sz="4"/>
          <w:left w:val="single" w:color="C8D4DF" w:sz="4"/>
          <w:bottom w:val="single" w:color="C8D4DF" w:sz="4"/>
          <w:right w:val="single" w:color="C8D4DF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1F33"/>
                <w:sz w:val="17"/>
                <w:szCs w:val="17"/>
              </w:rPr>
              <w:t xml:space="preserve">Practice Design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Define BTM service lines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Build GTM framework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Develop pricing model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Create foundational assets</w:t>
            </w:r>
          </w:p>
        </w:tc>
        <w:tc>
          <w:tcPr>
            <w:tcW w:type="dxa" w:w="31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1F33"/>
                <w:sz w:val="17"/>
                <w:szCs w:val="17"/>
              </w:rPr>
              <w:t xml:space="preserve">Revenue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Target 2–3 anchor clients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Close first $200–400K engagement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Identify 5–10 pipeline opps</w:t>
            </w:r>
          </w:p>
        </w:tc>
        <w:tc>
          <w:tcPr>
            <w:tcW w:type="dxa" w:w="31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1F33"/>
                <w:sz w:val="17"/>
                <w:szCs w:val="17"/>
              </w:rPr>
              <w:t xml:space="preserve">Team &amp; Partnerships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Hire Sr. BTM Lead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Begin SAP BTM certification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Initiate SAP Enable Now discussion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A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0D1F33"/>
                <w:sz w:val="20"/>
                <w:szCs w:val="20"/>
              </w:rPr>
              <w:t xml:space="preserve">Build Out &amp; Differentiate  |  </w:t>
            </w: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Months 4–6</w:t>
            </w:r>
          </w:p>
        </w:tc>
      </w:tr>
    </w:tbl>
    <w:tbl>
      <w:tblPr>
        <w:tblW w:type="dxa" w:w="9360"/>
        <w:tblBorders>
          <w:top w:val="single" w:color="C8D4DF" w:sz="4"/>
          <w:left w:val="single" w:color="C8D4DF" w:sz="4"/>
          <w:bottom w:val="single" w:color="C8D4DF" w:sz="4"/>
          <w:right w:val="single" w:color="C8D4DF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1F33"/>
                <w:sz w:val="17"/>
                <w:szCs w:val="17"/>
              </w:rPr>
              <w:t xml:space="preserve">Delivery Scaling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Grow to 5–8 practitioners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Launch BTM accelerator library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Establish QA standards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AI-powered content model</w:t>
            </w:r>
          </w:p>
        </w:tc>
        <w:tc>
          <w:tcPr>
            <w:tcW w:type="dxa" w:w="31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1F33"/>
                <w:sz w:val="17"/>
                <w:szCs w:val="17"/>
              </w:rPr>
              <w:t xml:space="preserve">Revenue Growth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$1–2M ARR run rate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3–5 active engagements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First managed services contract</w:t>
            </w:r>
          </w:p>
        </w:tc>
        <w:tc>
          <w:tcPr>
            <w:tcW w:type="dxa" w:w="31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1F33"/>
                <w:sz w:val="17"/>
                <w:szCs w:val="17"/>
              </w:rPr>
              <w:t xml:space="preserve">Market Position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SAP BTM case studies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Conference speaking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RFP win rate tracking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A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0D1F33"/>
                <w:sz w:val="20"/>
                <w:szCs w:val="20"/>
              </w:rPr>
              <w:t xml:space="preserve">Scale &amp; Codify  |  </w:t>
            </w: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Months 7–12</w:t>
            </w:r>
          </w:p>
        </w:tc>
      </w:tr>
    </w:tbl>
    <w:tbl>
      <w:tblPr>
        <w:tblW w:type="dxa" w:w="9360"/>
        <w:tblBorders>
          <w:top w:val="single" w:color="C8D4DF" w:sz="4"/>
          <w:left w:val="single" w:color="C8D4DF" w:sz="4"/>
          <w:bottom w:val="single" w:color="C8D4DF" w:sz="4"/>
          <w:right w:val="single" w:color="C8D4DF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1F33"/>
                <w:sz w:val="17"/>
                <w:szCs w:val="17"/>
              </w:rPr>
              <w:t xml:space="preserve">Practice Maturity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COE structure formalized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Sub-practices defined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SAP partnership formalized</w:t>
            </w:r>
          </w:p>
        </w:tc>
        <w:tc>
          <w:tcPr>
            <w:tcW w:type="dxa" w:w="31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1F33"/>
                <w:sz w:val="17"/>
                <w:szCs w:val="17"/>
              </w:rPr>
              <w:t xml:space="preserve">Revenue Target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$2–3M ARR by Year 1 end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10–15 client relationships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Repeat revenue emerging</w:t>
            </w:r>
          </w:p>
        </w:tc>
        <w:tc>
          <w:tcPr>
            <w:tcW w:type="dxa" w:w="31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1F33"/>
                <w:sz w:val="17"/>
                <w:szCs w:val="17"/>
              </w:rPr>
              <w:t xml:space="preserve">Strategic Position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Named SAP BTM partner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AI delivery as differentiator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•  Mid-market brand established</w:t>
            </w:r>
          </w:p>
        </w:tc>
      </w:tr>
    </w:tbl>
    <w:p>
      <w:pPr>
        <w:spacing w:after="0" w:before="80"/>
      </w:pPr>
    </w:p>
    <w:p>
      <w:pPr>
        <w:pBdr>
          <w:bottom w:val="single" w:color="1A3A5C" w:sz="12" w:space="2"/>
        </w:pBdr>
        <w:spacing w:after="120" w:before="300"/>
      </w:pPr>
      <w:r>
        <w:rPr>
          <w:rFonts w:ascii="Arial" w:cs="Arial" w:eastAsia="Arial" w:hAnsi="Arial"/>
          <w:b/>
          <w:bCs/>
          <w:color w:val="0D1F33"/>
          <w:sz w:val="28"/>
          <w:szCs w:val="28"/>
        </w:rPr>
        <w:t xml:space="preserve">4. Revenue Projections</w:t>
      </w:r>
    </w:p>
    <w:p>
      <w:pPr>
        <w:spacing w:after="60" w:before="60"/>
      </w:pPr>
      <w:r>
        <w:rPr>
          <w:rFonts w:ascii="Arial" w:cs="Arial" w:eastAsia="Arial" w:hAnsi="Arial"/>
          <w:color w:val="3D5266"/>
          <w:sz w:val="20"/>
          <w:szCs w:val="20"/>
        </w:rPr>
        <w:t xml:space="preserve">Conservative projections based on avg. $400–600K engagement size and lean delivery model. The ISG TaaS practice grew $0 to $14M in four years using a similar approach.</w:t>
      </w:r>
    </w:p>
    <w:p>
      <w:pPr>
        <w:spacing w:after="0" w:before="80"/>
      </w:pPr>
    </w:p>
    <w:tbl>
      <w:tblPr>
        <w:tblW w:type="dxa" w:w="9360"/>
        <w:tblBorders>
          <w:top w:val="single" w:color="C8D4DF" w:sz="4"/>
          <w:left w:val="single" w:color="C8D4DF" w:sz="4"/>
          <w:bottom w:val="single" w:color="C8D4DF" w:sz="4"/>
          <w:right w:val="single" w:color="C8D4DF" w:sz="4"/>
          <w:insideH w:val="single" w:color="auto" w:sz="4"/>
          <w:insideV w:val="single" w:color="auto" w:sz="4"/>
        </w:tblBorders>
      </w:tblPr>
      <w:tblGrid>
        <w:gridCol w:w="2500"/>
        <w:gridCol w:w="1860"/>
        <w:gridCol w:w="1700"/>
        <w:gridCol w:w="1650"/>
        <w:gridCol w:w="1650"/>
      </w:tblGrid>
      <w:tr>
        <w:tc>
          <w:tcPr>
            <w:tcW w:type="dxa" w:w="25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6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17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165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 (Target)</w:t>
            </w:r>
          </w:p>
        </w:tc>
        <w:tc>
          <w:tcPr>
            <w:tcW w:type="dxa" w:w="165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shd w:fill="F8F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3"/>
                <w:sz w:val="18"/>
                <w:szCs w:val="18"/>
              </w:rPr>
              <w:t xml:space="preserve">Active Clients</w:t>
            </w:r>
          </w:p>
        </w:tc>
        <w:tc>
          <w:tcPr>
            <w:tcW w:type="dxa" w:w="1860"/>
            <w:shd w:fill="F8F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3–5</w:t>
            </w:r>
          </w:p>
        </w:tc>
        <w:tc>
          <w:tcPr>
            <w:tcW w:type="dxa" w:w="1700"/>
            <w:shd w:fill="F8F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8–12</w:t>
            </w:r>
          </w:p>
        </w:tc>
        <w:tc>
          <w:tcPr>
            <w:tcW w:type="dxa" w:w="1650"/>
            <w:shd w:fill="F8F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15–20</w:t>
            </w:r>
          </w:p>
        </w:tc>
        <w:tc>
          <w:tcPr>
            <w:tcW w:type="dxa" w:w="1650"/>
            <w:shd w:fill="F8F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SAP impl. &amp; managed services mix</w:t>
            </w:r>
          </w:p>
        </w:tc>
      </w:tr>
      <w:tr>
        <w:tc>
          <w:tcPr>
            <w:tcW w:type="dxa" w:w="2500"/>
            <w:shd w:fill="EEEA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3"/>
                <w:sz w:val="18"/>
                <w:szCs w:val="18"/>
              </w:rPr>
              <w:t xml:space="preserve">Consultants</w:t>
            </w:r>
          </w:p>
        </w:tc>
        <w:tc>
          <w:tcPr>
            <w:tcW w:type="dxa" w:w="1860"/>
            <w:shd w:fill="EEEA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3–5</w:t>
            </w:r>
          </w:p>
        </w:tc>
        <w:tc>
          <w:tcPr>
            <w:tcW w:type="dxa" w:w="1700"/>
            <w:shd w:fill="EEEA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10–15</w:t>
            </w:r>
          </w:p>
        </w:tc>
        <w:tc>
          <w:tcPr>
            <w:tcW w:type="dxa" w:w="1650"/>
            <w:shd w:fill="EEEA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20–30</w:t>
            </w:r>
          </w:p>
        </w:tc>
        <w:tc>
          <w:tcPr>
            <w:tcW w:type="dxa" w:w="1650"/>
            <w:shd w:fill="EEEA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Sr. BTM lead + OCM &amp; training specialists</w:t>
            </w:r>
          </w:p>
        </w:tc>
      </w:tr>
      <w:tr>
        <w:tc>
          <w:tcPr>
            <w:tcW w:type="dxa" w:w="2500"/>
            <w:shd w:fill="F8F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3"/>
                <w:sz w:val="18"/>
                <w:szCs w:val="18"/>
              </w:rPr>
              <w:t xml:space="preserve">Practice Revenue</w:t>
            </w:r>
          </w:p>
        </w:tc>
        <w:tc>
          <w:tcPr>
            <w:tcW w:type="dxa" w:w="1860"/>
            <w:shd w:fill="F8F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$1–2M</w:t>
            </w:r>
          </w:p>
        </w:tc>
        <w:tc>
          <w:tcPr>
            <w:tcW w:type="dxa" w:w="1700"/>
            <w:shd w:fill="F8F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$3–5M</w:t>
            </w:r>
          </w:p>
        </w:tc>
        <w:tc>
          <w:tcPr>
            <w:tcW w:type="dxa" w:w="1650"/>
            <w:shd w:fill="F8F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$7–10M</w:t>
            </w:r>
          </w:p>
        </w:tc>
        <w:tc>
          <w:tcPr>
            <w:tcW w:type="dxa" w:w="1650"/>
            <w:shd w:fill="F8F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Avg. $500K engagement</w:t>
            </w:r>
          </w:p>
        </w:tc>
      </w:tr>
      <w:tr>
        <w:tc>
          <w:tcPr>
            <w:tcW w:type="dxa" w:w="2500"/>
            <w:shd w:fill="EEEA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3"/>
                <w:sz w:val="18"/>
                <w:szCs w:val="18"/>
              </w:rPr>
              <w:t xml:space="preserve">Avg. Engagement</w:t>
            </w:r>
          </w:p>
        </w:tc>
        <w:tc>
          <w:tcPr>
            <w:tcW w:type="dxa" w:w="1860"/>
            <w:shd w:fill="EEEA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$200–400K</w:t>
            </w:r>
          </w:p>
        </w:tc>
        <w:tc>
          <w:tcPr>
            <w:tcW w:type="dxa" w:w="1700"/>
            <w:shd w:fill="EEEA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$400–600K</w:t>
            </w:r>
          </w:p>
        </w:tc>
        <w:tc>
          <w:tcPr>
            <w:tcW w:type="dxa" w:w="1650"/>
            <w:shd w:fill="EEEA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$500K–1.5M</w:t>
            </w:r>
          </w:p>
        </w:tc>
        <w:tc>
          <w:tcPr>
            <w:tcW w:type="dxa" w:w="1650"/>
            <w:shd w:fill="EEEA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Grows as reputation builds</w:t>
            </w:r>
          </w:p>
        </w:tc>
      </w:tr>
      <w:tr>
        <w:tc>
          <w:tcPr>
            <w:tcW w:type="dxa" w:w="2500"/>
            <w:shd w:fill="F8F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3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1860"/>
            <w:shd w:fill="F8F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35–45%</w:t>
            </w:r>
          </w:p>
        </w:tc>
        <w:tc>
          <w:tcPr>
            <w:tcW w:type="dxa" w:w="1700"/>
            <w:shd w:fill="F8F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45–55%</w:t>
            </w:r>
          </w:p>
        </w:tc>
        <w:tc>
          <w:tcPr>
            <w:tcW w:type="dxa" w:w="1650"/>
            <w:shd w:fill="F8F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50–60%</w:t>
            </w:r>
          </w:p>
        </w:tc>
        <w:tc>
          <w:tcPr>
            <w:tcW w:type="dxa" w:w="1650"/>
            <w:shd w:fill="F8F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Improves as reusable assets scale</w:t>
            </w:r>
          </w:p>
        </w:tc>
      </w:tr>
      <w:tr>
        <w:tc>
          <w:tcPr>
            <w:tcW w:type="dxa" w:w="2500"/>
            <w:shd w:fill="EEEA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3"/>
                <w:sz w:val="18"/>
                <w:szCs w:val="18"/>
              </w:rPr>
              <w:t xml:space="preserve">Partner Revenue</w:t>
            </w:r>
          </w:p>
        </w:tc>
        <w:tc>
          <w:tcPr>
            <w:tcW w:type="dxa" w:w="1860"/>
            <w:shd w:fill="EEEA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EEEA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SAP Enable Now</w:t>
            </w:r>
          </w:p>
        </w:tc>
        <w:tc>
          <w:tcPr>
            <w:tcW w:type="dxa" w:w="1650"/>
            <w:shd w:fill="EEEA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WalkMe, SAP BTM Cert.</w:t>
            </w:r>
          </w:p>
        </w:tc>
        <w:tc>
          <w:tcPr>
            <w:tcW w:type="dxa" w:w="1650"/>
            <w:shd w:fill="EEEA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Accelerates in Yr 2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3A5C" w:sz="16"/>
              <w:bottom w:val="none" w:color="FFFFFF" w:sz="0"/>
              <w:right w:val="none" w:color="FFFFFF" w:sz="0"/>
            </w:tcBorders>
            <w:shd w:fill="EEEA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pacing w:val="80"/>
                <w:sz w:val="17"/>
                <w:szCs w:val="17"/>
              </w:rPr>
              <w:t xml:space="preserve">INVESTMENT CONTEXT</w:t>
            </w:r>
          </w:p>
          <w:p>
            <w:r>
              <w:rPr>
                <w:rFonts w:ascii="Arial" w:cs="Arial" w:eastAsia="Arial" w:hAnsi="Arial"/>
                <w:color w:val="0D1F33"/>
                <w:sz w:val="20"/>
                <w:szCs w:val="20"/>
              </w:rPr>
              <w:t xml:space="preserve">Year 1 investment is modest: 1–2 senior hires, methodology development, and SAP partnership fees. Against a $1–2M Year 1 revenue target, the ROI is compelling — and the long-term platform value (recurring managed services, partnership revenue, brand equity) makes this a foundational growth investment.</w:t>
            </w:r>
          </w:p>
        </w:tc>
      </w:tr>
    </w:tbl>
    <w:p>
      <w:pPr>
        <w:spacing w:after="0" w:before="120"/>
      </w:pPr>
    </w:p>
    <w:p>
      <w:pPr>
        <w:pBdr>
          <w:bottom w:val="single" w:color="1A3A5C" w:sz="12" w:space="2"/>
        </w:pBdr>
        <w:spacing w:after="120" w:before="300"/>
      </w:pPr>
      <w:r>
        <w:rPr>
          <w:rFonts w:ascii="Arial" w:cs="Arial" w:eastAsia="Arial" w:hAnsi="Arial"/>
          <w:b/>
          <w:bCs/>
          <w:color w:val="0D1F33"/>
          <w:sz w:val="28"/>
          <w:szCs w:val="28"/>
        </w:rPr>
        <w:t xml:space="preserve">5. Risk &amp; Mitigation</w:t>
      </w:r>
    </w:p>
    <w:tbl>
      <w:tblPr>
        <w:tblW w:type="dxa" w:w="9360"/>
        <w:tblBorders>
          <w:top w:val="single" w:color="C8D4DF" w:sz="4"/>
          <w:left w:val="single" w:color="C8D4DF" w:sz="4"/>
          <w:bottom w:val="single" w:color="C8D4DF" w:sz="4"/>
          <w:right w:val="single" w:color="C8D4DF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08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308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200"/>
            <w:shd w:fill="F8F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3"/>
                <w:sz w:val="18"/>
                <w:szCs w:val="18"/>
              </w:rPr>
              <w:t xml:space="preserve">Slow pipeline build</w:t>
            </w:r>
          </w:p>
        </w:tc>
        <w:tc>
          <w:tcPr>
            <w:tcW w:type="dxa" w:w="3080"/>
            <w:shd w:fill="F8F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Low — existing network provides runway</w:t>
            </w:r>
          </w:p>
        </w:tc>
        <w:tc>
          <w:tcPr>
            <w:tcW w:type="dxa" w:w="3080"/>
            <w:shd w:fill="F8F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Begin client outreach Month 1; target 2–3 known relationships</w:t>
            </w:r>
          </w:p>
        </w:tc>
      </w:tr>
      <w:tr>
        <w:tc>
          <w:tcPr>
            <w:tcW w:type="dxa" w:w="3200"/>
            <w:shd w:fill="EEEA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3"/>
                <w:sz w:val="18"/>
                <w:szCs w:val="18"/>
              </w:rPr>
              <w:t xml:space="preserve">SAP partnership delays</w:t>
            </w:r>
          </w:p>
        </w:tc>
        <w:tc>
          <w:tcPr>
            <w:tcW w:type="dxa" w:w="3080"/>
            <w:shd w:fill="EEEA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Medium — certification takes 3–6 months</w:t>
            </w:r>
          </w:p>
        </w:tc>
        <w:tc>
          <w:tcPr>
            <w:tcW w:type="dxa" w:w="3080"/>
            <w:shd w:fill="EEEA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Lead with delivery first; formalize partnership in parallel</w:t>
            </w:r>
          </w:p>
        </w:tc>
      </w:tr>
      <w:tr>
        <w:tc>
          <w:tcPr>
            <w:tcW w:type="dxa" w:w="3200"/>
            <w:shd w:fill="F8F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3"/>
                <w:sz w:val="18"/>
                <w:szCs w:val="18"/>
              </w:rPr>
              <w:t xml:space="preserve">Talent competition</w:t>
            </w:r>
          </w:p>
        </w:tc>
        <w:tc>
          <w:tcPr>
            <w:tcW w:type="dxa" w:w="3080"/>
            <w:shd w:fill="F8F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Medium — BTM market is tight</w:t>
            </w:r>
          </w:p>
        </w:tc>
        <w:tc>
          <w:tcPr>
            <w:tcW w:type="dxa" w:w="3080"/>
            <w:shd w:fill="F8F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Leverage network; hybrid model with contractors in Year 1</w:t>
            </w:r>
          </w:p>
        </w:tc>
      </w:tr>
      <w:tr>
        <w:tc>
          <w:tcPr>
            <w:tcW w:type="dxa" w:w="3200"/>
            <w:shd w:fill="EEEA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3"/>
                <w:sz w:val="18"/>
                <w:szCs w:val="18"/>
              </w:rPr>
              <w:t xml:space="preserve">Practice dilution</w:t>
            </w:r>
          </w:p>
        </w:tc>
        <w:tc>
          <w:tcPr>
            <w:tcW w:type="dxa" w:w="3080"/>
            <w:shd w:fill="EEEA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Low with clear charter</w:t>
            </w:r>
          </w:p>
        </w:tc>
        <w:tc>
          <w:tcPr>
            <w:tcW w:type="dxa" w:w="3080"/>
            <w:shd w:fill="EEEA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5266"/>
                <w:sz w:val="18"/>
                <w:szCs w:val="18"/>
              </w:rPr>
              <w:t xml:space="preserve">Dedicated P&amp;L, reporting structure, and executive sponsor from day one</w:t>
            </w:r>
          </w:p>
        </w:tc>
      </w:tr>
    </w:tbl>
    <w:p>
      <w:pPr>
        <w:spacing w:after="0" w:before="120"/>
      </w:pPr>
    </w:p>
    <w:p>
      <w:pPr>
        <w:pBdr>
          <w:bottom w:val="single" w:color="1A3A5C" w:sz="12" w:space="2"/>
        </w:pBdr>
        <w:spacing w:after="120" w:before="300"/>
      </w:pPr>
      <w:r>
        <w:rPr>
          <w:rFonts w:ascii="Arial" w:cs="Arial" w:eastAsia="Arial" w:hAnsi="Arial"/>
          <w:b/>
          <w:bCs/>
          <w:color w:val="0D1F33"/>
          <w:sz w:val="28"/>
          <w:szCs w:val="28"/>
        </w:rPr>
        <w:t xml:space="preserve">6. The Ask</w:t>
      </w:r>
    </w:p>
    <w:p>
      <w:pPr>
        <w:spacing w:after="60" w:before="60"/>
      </w:pPr>
      <w:r>
        <w:rPr>
          <w:rFonts w:ascii="Arial" w:cs="Arial" w:eastAsia="Arial" w:hAnsi="Arial"/>
          <w:color w:val="3D5266"/>
          <w:sz w:val="20"/>
          <w:szCs w:val="20"/>
        </w:rPr>
        <w:t xml:space="preserve">I’m not pitching a consulting engagement. I’m pitching a partnership to build something significant together.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5266"/>
          <w:sz w:val="20"/>
          <w:szCs w:val="20"/>
        </w:rPr>
        <w:t xml:space="preserve">A dedicated BTM practice charter with my name on it and clear executive sponsorship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5266"/>
          <w:sz w:val="20"/>
          <w:szCs w:val="20"/>
        </w:rPr>
        <w:t xml:space="preserve">Authority to hire 1–2 senior practitioners in Year 1 (can supplement with contract resources)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5266"/>
          <w:sz w:val="20"/>
          <w:szCs w:val="20"/>
        </w:rPr>
        <w:t xml:space="preserve">Investment in SAP BTM certification and SAP Enable Now partnership activation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5266"/>
          <w:sz w:val="20"/>
          <w:szCs w:val="20"/>
        </w:rPr>
        <w:t xml:space="preserve">Fair compensation structure that rewards practice growth (base + performance tied to P&amp;L)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5266"/>
          <w:sz w:val="20"/>
          <w:szCs w:val="20"/>
        </w:rPr>
        <w:t xml:space="preserve">6–12 month runway to demonstrate traction before scaling investment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3A5C" w:sz="16"/>
              <w:bottom w:val="none" w:color="FFFFFF" w:sz="0"/>
              <w:right w:val="none" w:color="FFFFFF" w:sz="0"/>
            </w:tcBorders>
            <w:shd w:fill="EEEA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pacing w:val="80"/>
                <w:sz w:val="17"/>
                <w:szCs w:val="17"/>
              </w:rPr>
              <w:t xml:space="preserve">THE BOTTOM LINE</w:t>
            </w:r>
          </w:p>
          <w:p>
            <w:r>
              <w:rPr>
                <w:rFonts w:ascii="Arial" w:cs="Arial" w:eastAsia="Arial" w:hAnsi="Arial"/>
                <w:color w:val="0D1F33"/>
                <w:sz w:val="20"/>
                <w:szCs w:val="20"/>
              </w:rPr>
              <w:t xml:space="preserve">You have SAP work coming in the door with no formal practice to capture it. I have the delivery credentials, the practice-building track record, and the client relationships to change that — starting in Month 1. Let’s build this.</w:t>
            </w:r>
          </w:p>
        </w:tc>
      </w:tr>
    </w:tbl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5A6E82"/>
          <w:sz w:val="18"/>
          <w:szCs w:val="18"/>
        </w:rPr>
        <w:t xml:space="preserve">Doug Teachey  —  dteachey@gmail.com  —  404.384.9397  —  linkedin.com/in/dougteachey</w:t>
      </w:r>
    </w:p>
    <w:sectPr>
      <w:pgSz w:w="12240" w:h="15840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2026-04-24T06:33:48.437Z</dcterms:created>
  <dcterms:modified xsi:type="dcterms:W3CDTF">2026-04-24T06:33:48.438Z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