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18363" w14:textId="748C0129" w:rsidR="0073786E" w:rsidRPr="00AA1B45" w:rsidRDefault="0073786E" w:rsidP="0073786E">
      <w:pPr>
        <w:jc w:val="right"/>
        <w:rPr>
          <w:rFonts w:ascii="Times New Roman" w:hAnsi="Times New Roman" w:cs="Times New Roman"/>
          <w:sz w:val="20"/>
          <w:szCs w:val="20"/>
        </w:rPr>
      </w:pPr>
      <w:r w:rsidRPr="00AA1B45">
        <w:rPr>
          <w:rFonts w:ascii="Times New Roman" w:hAnsi="Times New Roman" w:cs="Times New Roman"/>
          <w:sz w:val="20"/>
          <w:szCs w:val="20"/>
        </w:rPr>
        <w:t>Dylan Terayama</w:t>
      </w:r>
    </w:p>
    <w:p w14:paraId="622A9912" w14:textId="127D0C87" w:rsidR="0073786E" w:rsidRPr="00AA1B45" w:rsidRDefault="0073786E" w:rsidP="0073786E">
      <w:pPr>
        <w:jc w:val="right"/>
        <w:rPr>
          <w:rFonts w:ascii="Times New Roman" w:hAnsi="Times New Roman" w:cs="Times New Roman"/>
          <w:sz w:val="20"/>
          <w:szCs w:val="20"/>
        </w:rPr>
      </w:pPr>
      <w:r w:rsidRPr="00AA1B45">
        <w:rPr>
          <w:rFonts w:ascii="Times New Roman" w:hAnsi="Times New Roman" w:cs="Times New Roman"/>
          <w:sz w:val="20"/>
          <w:szCs w:val="20"/>
        </w:rPr>
        <w:t>Associate Quant</w:t>
      </w:r>
    </w:p>
    <w:p w14:paraId="21DD745B" w14:textId="48F86BAE" w:rsidR="0073786E" w:rsidRPr="00AA1B45" w:rsidRDefault="0073786E" w:rsidP="0073786E">
      <w:pPr>
        <w:jc w:val="right"/>
        <w:rPr>
          <w:rFonts w:ascii="Times New Roman" w:hAnsi="Times New Roman" w:cs="Times New Roman"/>
          <w:sz w:val="20"/>
          <w:szCs w:val="20"/>
        </w:rPr>
      </w:pPr>
      <w:r w:rsidRPr="00AA1B45">
        <w:rPr>
          <w:rFonts w:ascii="Times New Roman" w:hAnsi="Times New Roman" w:cs="Times New Roman"/>
          <w:sz w:val="20"/>
          <w:szCs w:val="20"/>
        </w:rPr>
        <w:t>3/8/2025</w:t>
      </w:r>
    </w:p>
    <w:p w14:paraId="47E18F95" w14:textId="0E12A5E1" w:rsidR="0073786E" w:rsidRPr="00AA1B45" w:rsidRDefault="0073786E" w:rsidP="0073786E">
      <w:pPr>
        <w:jc w:val="center"/>
        <w:rPr>
          <w:rFonts w:ascii="Times New Roman" w:hAnsi="Times New Roman" w:cs="Times New Roman"/>
          <w:b/>
          <w:bCs/>
          <w:sz w:val="20"/>
          <w:szCs w:val="20"/>
        </w:rPr>
      </w:pPr>
      <w:r w:rsidRPr="00AA1B45">
        <w:rPr>
          <w:rFonts w:ascii="Times New Roman" w:hAnsi="Times New Roman" w:cs="Times New Roman"/>
          <w:b/>
          <w:bCs/>
          <w:sz w:val="20"/>
          <w:szCs w:val="20"/>
        </w:rPr>
        <w:t>L2 Homework Assignment 2 Insights</w:t>
      </w:r>
    </w:p>
    <w:p w14:paraId="21D6CB65" w14:textId="77777777" w:rsidR="00AA1B45" w:rsidRPr="00AA1B45" w:rsidRDefault="00AA1B45" w:rsidP="0073786E">
      <w:pPr>
        <w:rPr>
          <w:rFonts w:ascii="Times New Roman" w:hAnsi="Times New Roman" w:cs="Times New Roman"/>
          <w:sz w:val="20"/>
          <w:szCs w:val="20"/>
        </w:rPr>
      </w:pPr>
      <w:r w:rsidRPr="00AA1B45">
        <w:rPr>
          <w:rFonts w:ascii="Times New Roman" w:hAnsi="Times New Roman" w:cs="Times New Roman"/>
          <w:sz w:val="20"/>
          <w:szCs w:val="20"/>
        </w:rPr>
        <w:t xml:space="preserve">I selected the stocks TSLA, PLTR, META, GOOGL, NVDA, AMD, and AMZN due to their high trading volumes and recent volatility. These stocks have experienced significant fluctuations, likely influenced by concerns over the potential economic impacts of tariffs proposed by former President Donald Trump. Additionally, these companies are heavily involved in AI and have seen explosive rallies in recent years, which have been disrupted by competitors in the AI space, such as DeepMind. NVDA and TSLA have displayed the highest volatility among these stocks due to these factors. I also included KR, KO, and COST in my analysis, as these are historically stable, necessity-driven consumer staple stocks. While they did experience some volatility, it was far less pronounced compared to the other seven </w:t>
      </w:r>
      <w:r w:rsidRPr="00AA1B45">
        <w:rPr>
          <w:rFonts w:ascii="Times New Roman" w:hAnsi="Times New Roman" w:cs="Times New Roman"/>
          <w:sz w:val="20"/>
          <w:szCs w:val="20"/>
        </w:rPr>
        <w:t xml:space="preserve">stocks. </w:t>
      </w:r>
    </w:p>
    <w:p w14:paraId="068B8F89" w14:textId="05477817" w:rsidR="0073786E" w:rsidRPr="00AA1B45" w:rsidRDefault="00AA1B45" w:rsidP="0073786E">
      <w:pPr>
        <w:rPr>
          <w:rFonts w:ascii="Times New Roman" w:hAnsi="Times New Roman" w:cs="Times New Roman"/>
          <w:sz w:val="20"/>
          <w:szCs w:val="20"/>
          <w:u w:val="single"/>
        </w:rPr>
      </w:pPr>
      <w:r w:rsidRPr="00AA1B45">
        <w:rPr>
          <w:rFonts w:ascii="Times New Roman" w:hAnsi="Times New Roman" w:cs="Times New Roman"/>
          <w:sz w:val="20"/>
          <w:szCs w:val="20"/>
          <w:u w:val="single"/>
        </w:rPr>
        <w:t>Performance of Bolinger Band Strategy</w:t>
      </w:r>
    </w:p>
    <w:p w14:paraId="3CBC0D36" w14:textId="21D8A124"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Tesla</w:t>
      </w:r>
      <w:r w:rsidRPr="00AA1B45">
        <w:rPr>
          <w:rFonts w:ascii="Times New Roman" w:hAnsi="Times New Roman" w:cs="Times New Roman"/>
          <w:sz w:val="20"/>
          <w:szCs w:val="20"/>
        </w:rPr>
        <w:t xml:space="preserve">: The strategy had mixed results due to frequent buy/sell signals from high volatility. It was difficult to capture consistent trends. </w:t>
      </w:r>
    </w:p>
    <w:p w14:paraId="1553A058" w14:textId="0A8E3F72"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Nvidia</w:t>
      </w:r>
      <w:r w:rsidRPr="00AA1B45">
        <w:rPr>
          <w:rFonts w:ascii="Times New Roman" w:hAnsi="Times New Roman" w:cs="Times New Roman"/>
          <w:sz w:val="20"/>
          <w:szCs w:val="20"/>
        </w:rPr>
        <w:t xml:space="preserve">: The strategy performed similarly to Tesla, with high volatility leading to erratic signals and inconsistent returns. </w:t>
      </w:r>
    </w:p>
    <w:p w14:paraId="443B0DA3" w14:textId="16093F71"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Palantir</w:t>
      </w:r>
      <w:r w:rsidRPr="00AA1B45">
        <w:rPr>
          <w:rFonts w:ascii="Times New Roman" w:hAnsi="Times New Roman" w:cs="Times New Roman"/>
          <w:sz w:val="20"/>
          <w:szCs w:val="20"/>
        </w:rPr>
        <w:t xml:space="preserve">: The strategy worked moderately well, but frequent signals in volatile periods reduced its effectiveness. </w:t>
      </w:r>
    </w:p>
    <w:p w14:paraId="2886EC80" w14:textId="1B01EDDB"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Meta</w:t>
      </w:r>
      <w:r w:rsidRPr="00AA1B45">
        <w:rPr>
          <w:rFonts w:ascii="Times New Roman" w:hAnsi="Times New Roman" w:cs="Times New Roman"/>
          <w:sz w:val="20"/>
          <w:szCs w:val="20"/>
        </w:rPr>
        <w:t xml:space="preserve">: The strategy showed better performance with fewer signals due to lower volatility, providing clearer entry and exit points. </w:t>
      </w:r>
    </w:p>
    <w:p w14:paraId="5B2BAC83" w14:textId="05A1F84D"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Amazo</w:t>
      </w:r>
      <w:r w:rsidRPr="00AA1B45">
        <w:rPr>
          <w:rFonts w:ascii="Times New Roman" w:hAnsi="Times New Roman" w:cs="Times New Roman"/>
          <w:b/>
          <w:bCs/>
          <w:sz w:val="20"/>
          <w:szCs w:val="20"/>
        </w:rPr>
        <w:t>n</w:t>
      </w:r>
      <w:r w:rsidRPr="00AA1B45">
        <w:rPr>
          <w:rFonts w:ascii="Times New Roman" w:hAnsi="Times New Roman" w:cs="Times New Roman"/>
          <w:sz w:val="20"/>
          <w:szCs w:val="20"/>
        </w:rPr>
        <w:t xml:space="preserve">: </w:t>
      </w:r>
      <w:proofErr w:type="gramStart"/>
      <w:r w:rsidRPr="00AA1B45">
        <w:rPr>
          <w:rFonts w:ascii="Times New Roman" w:hAnsi="Times New Roman" w:cs="Times New Roman"/>
          <w:sz w:val="20"/>
          <w:szCs w:val="20"/>
        </w:rPr>
        <w:t>Similar to</w:t>
      </w:r>
      <w:proofErr w:type="gramEnd"/>
      <w:r w:rsidRPr="00AA1B45">
        <w:rPr>
          <w:rFonts w:ascii="Times New Roman" w:hAnsi="Times New Roman" w:cs="Times New Roman"/>
          <w:sz w:val="20"/>
          <w:szCs w:val="20"/>
        </w:rPr>
        <w:t xml:space="preserve"> Meta, the strategy worked reasonably well with moderate volatility. </w:t>
      </w:r>
    </w:p>
    <w:p w14:paraId="3585F867" w14:textId="3FAA2428"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AMD</w:t>
      </w:r>
      <w:r w:rsidRPr="00AA1B45">
        <w:rPr>
          <w:rFonts w:ascii="Times New Roman" w:hAnsi="Times New Roman" w:cs="Times New Roman"/>
          <w:sz w:val="20"/>
          <w:szCs w:val="20"/>
        </w:rPr>
        <w:t xml:space="preserve">: Frequent buy/sell signals caused inconsistent </w:t>
      </w:r>
      <w:r w:rsidRPr="00AA1B45">
        <w:rPr>
          <w:rFonts w:ascii="Times New Roman" w:hAnsi="Times New Roman" w:cs="Times New Roman"/>
          <w:sz w:val="20"/>
          <w:szCs w:val="20"/>
        </w:rPr>
        <w:t>performance, due to</w:t>
      </w:r>
      <w:r w:rsidRPr="00AA1B45">
        <w:rPr>
          <w:rFonts w:ascii="Times New Roman" w:hAnsi="Times New Roman" w:cs="Times New Roman"/>
          <w:sz w:val="20"/>
          <w:szCs w:val="20"/>
        </w:rPr>
        <w:t xml:space="preserve"> high volatility. </w:t>
      </w:r>
    </w:p>
    <w:p w14:paraId="6F9766F3" w14:textId="01BBC49C"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Kroger</w:t>
      </w:r>
      <w:r w:rsidRPr="00AA1B45">
        <w:rPr>
          <w:rFonts w:ascii="Times New Roman" w:hAnsi="Times New Roman" w:cs="Times New Roman"/>
          <w:sz w:val="20"/>
          <w:szCs w:val="20"/>
        </w:rPr>
        <w:t xml:space="preserve">: </w:t>
      </w:r>
      <w:r w:rsidRPr="00AA1B45">
        <w:rPr>
          <w:rFonts w:ascii="Times New Roman" w:hAnsi="Times New Roman" w:cs="Times New Roman"/>
          <w:sz w:val="20"/>
          <w:szCs w:val="20"/>
        </w:rPr>
        <w:t>S</w:t>
      </w:r>
      <w:r w:rsidRPr="00AA1B45">
        <w:rPr>
          <w:rFonts w:ascii="Times New Roman" w:hAnsi="Times New Roman" w:cs="Times New Roman"/>
          <w:sz w:val="20"/>
          <w:szCs w:val="20"/>
        </w:rPr>
        <w:t xml:space="preserve">howed stable performance due to lower volatility and fewer trading signals. </w:t>
      </w:r>
    </w:p>
    <w:p w14:paraId="1E5568D2" w14:textId="75223159"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Coca-Cola</w:t>
      </w:r>
      <w:r w:rsidRPr="00AA1B45">
        <w:rPr>
          <w:rFonts w:ascii="Times New Roman" w:hAnsi="Times New Roman" w:cs="Times New Roman"/>
          <w:sz w:val="20"/>
          <w:szCs w:val="20"/>
        </w:rPr>
        <w:t xml:space="preserve">: </w:t>
      </w:r>
      <w:r w:rsidRPr="00AA1B45">
        <w:rPr>
          <w:rFonts w:ascii="Times New Roman" w:hAnsi="Times New Roman" w:cs="Times New Roman"/>
          <w:sz w:val="20"/>
          <w:szCs w:val="20"/>
        </w:rPr>
        <w:t>P</w:t>
      </w:r>
      <w:r w:rsidRPr="00AA1B45">
        <w:rPr>
          <w:rFonts w:ascii="Times New Roman" w:hAnsi="Times New Roman" w:cs="Times New Roman"/>
          <w:sz w:val="20"/>
          <w:szCs w:val="20"/>
        </w:rPr>
        <w:t xml:space="preserve">erformed </w:t>
      </w:r>
      <w:proofErr w:type="gramStart"/>
      <w:r w:rsidRPr="00AA1B45">
        <w:rPr>
          <w:rFonts w:ascii="Times New Roman" w:hAnsi="Times New Roman" w:cs="Times New Roman"/>
          <w:sz w:val="20"/>
          <w:szCs w:val="20"/>
        </w:rPr>
        <w:t>fairly well</w:t>
      </w:r>
      <w:proofErr w:type="gramEnd"/>
      <w:r w:rsidRPr="00AA1B45">
        <w:rPr>
          <w:rFonts w:ascii="Times New Roman" w:hAnsi="Times New Roman" w:cs="Times New Roman"/>
          <w:sz w:val="20"/>
          <w:szCs w:val="20"/>
        </w:rPr>
        <w:t xml:space="preserve"> with clear </w:t>
      </w:r>
      <w:r w:rsidRPr="00AA1B45">
        <w:rPr>
          <w:rFonts w:ascii="Times New Roman" w:hAnsi="Times New Roman" w:cs="Times New Roman"/>
          <w:sz w:val="20"/>
          <w:szCs w:val="20"/>
        </w:rPr>
        <w:t xml:space="preserve">signals, showing </w:t>
      </w:r>
      <w:r w:rsidRPr="00AA1B45">
        <w:rPr>
          <w:rFonts w:ascii="Times New Roman" w:hAnsi="Times New Roman" w:cs="Times New Roman"/>
          <w:sz w:val="20"/>
          <w:szCs w:val="20"/>
        </w:rPr>
        <w:t>steady price movement</w:t>
      </w:r>
    </w:p>
    <w:p w14:paraId="4DA31389" w14:textId="64C1D0C9"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Costco</w:t>
      </w:r>
      <w:r w:rsidRPr="00AA1B45">
        <w:rPr>
          <w:rFonts w:ascii="Times New Roman" w:hAnsi="Times New Roman" w:cs="Times New Roman"/>
          <w:sz w:val="20"/>
          <w:szCs w:val="20"/>
        </w:rPr>
        <w:t xml:space="preserve">: Like Kroger and Coca-Cola, Costco showed stable performance with clear signals due to its low volatility. </w:t>
      </w:r>
    </w:p>
    <w:p w14:paraId="14CB3F5D" w14:textId="71611C99" w:rsidR="00AA1B45" w:rsidRPr="00AA1B45" w:rsidRDefault="00AA1B45" w:rsidP="00AA1B45">
      <w:pPr>
        <w:rPr>
          <w:rFonts w:ascii="Times New Roman" w:hAnsi="Times New Roman" w:cs="Times New Roman"/>
          <w:sz w:val="20"/>
          <w:szCs w:val="20"/>
        </w:rPr>
      </w:pPr>
      <w:r w:rsidRPr="00AA1B45">
        <w:rPr>
          <w:rFonts w:ascii="Times New Roman" w:hAnsi="Times New Roman" w:cs="Times New Roman"/>
          <w:b/>
          <w:bCs/>
          <w:sz w:val="20"/>
          <w:szCs w:val="20"/>
        </w:rPr>
        <w:t>Alphabet</w:t>
      </w:r>
      <w:r w:rsidRPr="00AA1B45">
        <w:rPr>
          <w:rFonts w:ascii="Times New Roman" w:hAnsi="Times New Roman" w:cs="Times New Roman"/>
          <w:sz w:val="20"/>
          <w:szCs w:val="20"/>
        </w:rPr>
        <w:t>: The Bollinger Bands strategy worked moderately, capturing some short-term trends but failing to provide consistently reliable signals due to occasional price fluctuations.</w:t>
      </w:r>
    </w:p>
    <w:p w14:paraId="11892D9F" w14:textId="649E22A4" w:rsidR="00AA1B45" w:rsidRPr="00AA1B45" w:rsidRDefault="00AA1B45" w:rsidP="0073786E">
      <w:pPr>
        <w:rPr>
          <w:rFonts w:ascii="Times New Roman" w:hAnsi="Times New Roman" w:cs="Times New Roman"/>
          <w:sz w:val="20"/>
          <w:szCs w:val="20"/>
          <w:u w:val="single"/>
        </w:rPr>
      </w:pPr>
      <w:r w:rsidRPr="00AA1B45">
        <w:rPr>
          <w:rFonts w:ascii="Times New Roman" w:hAnsi="Times New Roman" w:cs="Times New Roman"/>
          <w:sz w:val="20"/>
          <w:szCs w:val="20"/>
          <w:u w:val="single"/>
        </w:rPr>
        <w:t>Observations from Visualizations</w:t>
      </w:r>
    </w:p>
    <w:p w14:paraId="5F15BFD3" w14:textId="47284FD2" w:rsidR="0073786E" w:rsidRPr="00AA1B45" w:rsidRDefault="00AA1B45" w:rsidP="0073786E">
      <w:pPr>
        <w:rPr>
          <w:rFonts w:ascii="Times New Roman" w:hAnsi="Times New Roman" w:cs="Times New Roman"/>
          <w:sz w:val="20"/>
          <w:szCs w:val="20"/>
        </w:rPr>
      </w:pPr>
      <w:r w:rsidRPr="00AA1B45">
        <w:rPr>
          <w:rFonts w:ascii="Times New Roman" w:hAnsi="Times New Roman" w:cs="Times New Roman"/>
          <w:sz w:val="20"/>
          <w:szCs w:val="20"/>
        </w:rPr>
        <w:t>From the visualizations, it’s clear that the Bollinger Bands strategy generated distinct buy and sell signals for most of the stocks, particularly during periods of high volatility. For the more volatile stocks like NVDA and TSLA, there were frequent price movements that crossed the upper and lower bands, triggering multiple buy and sell signals. This highlighted the sharp price swings in these stocks. On the other hand, the more stable consumer staples like KR, KO, and COST showed fewer crossings, indicating less frequent opportunities for trading signals. Overall, the visualizations helped illustrate how the strategy reacts to price movements, showing the importance of market volatility in triggering signals.</w:t>
      </w:r>
    </w:p>
    <w:sectPr w:rsidR="0073786E" w:rsidRPr="00AA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53145"/>
    <w:multiLevelType w:val="hybridMultilevel"/>
    <w:tmpl w:val="EF7C3250"/>
    <w:lvl w:ilvl="0" w:tplc="91CEF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3A7437"/>
    <w:multiLevelType w:val="hybridMultilevel"/>
    <w:tmpl w:val="C6A2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490008">
    <w:abstractNumId w:val="1"/>
  </w:num>
  <w:num w:numId="2" w16cid:durableId="183687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6E"/>
    <w:rsid w:val="003F47D8"/>
    <w:rsid w:val="0073786E"/>
    <w:rsid w:val="00A32624"/>
    <w:rsid w:val="00AA1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BAFD"/>
  <w15:chartTrackingRefBased/>
  <w15:docId w15:val="{56C7483F-CEBD-4516-990B-08967B7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86E"/>
    <w:rPr>
      <w:rFonts w:eastAsiaTheme="majorEastAsia" w:cstheme="majorBidi"/>
      <w:color w:val="272727" w:themeColor="text1" w:themeTint="D8"/>
    </w:rPr>
  </w:style>
  <w:style w:type="paragraph" w:styleId="Title">
    <w:name w:val="Title"/>
    <w:basedOn w:val="Normal"/>
    <w:next w:val="Normal"/>
    <w:link w:val="TitleChar"/>
    <w:uiPriority w:val="10"/>
    <w:qFormat/>
    <w:rsid w:val="00737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86E"/>
    <w:pPr>
      <w:spacing w:before="160"/>
      <w:jc w:val="center"/>
    </w:pPr>
    <w:rPr>
      <w:i/>
      <w:iCs/>
      <w:color w:val="404040" w:themeColor="text1" w:themeTint="BF"/>
    </w:rPr>
  </w:style>
  <w:style w:type="character" w:customStyle="1" w:styleId="QuoteChar">
    <w:name w:val="Quote Char"/>
    <w:basedOn w:val="DefaultParagraphFont"/>
    <w:link w:val="Quote"/>
    <w:uiPriority w:val="29"/>
    <w:rsid w:val="0073786E"/>
    <w:rPr>
      <w:i/>
      <w:iCs/>
      <w:color w:val="404040" w:themeColor="text1" w:themeTint="BF"/>
    </w:rPr>
  </w:style>
  <w:style w:type="paragraph" w:styleId="ListParagraph">
    <w:name w:val="List Paragraph"/>
    <w:basedOn w:val="Normal"/>
    <w:uiPriority w:val="34"/>
    <w:qFormat/>
    <w:rsid w:val="0073786E"/>
    <w:pPr>
      <w:ind w:left="720"/>
      <w:contextualSpacing/>
    </w:pPr>
  </w:style>
  <w:style w:type="character" w:styleId="IntenseEmphasis">
    <w:name w:val="Intense Emphasis"/>
    <w:basedOn w:val="DefaultParagraphFont"/>
    <w:uiPriority w:val="21"/>
    <w:qFormat/>
    <w:rsid w:val="0073786E"/>
    <w:rPr>
      <w:i/>
      <w:iCs/>
      <w:color w:val="0F4761" w:themeColor="accent1" w:themeShade="BF"/>
    </w:rPr>
  </w:style>
  <w:style w:type="paragraph" w:styleId="IntenseQuote">
    <w:name w:val="Intense Quote"/>
    <w:basedOn w:val="Normal"/>
    <w:next w:val="Normal"/>
    <w:link w:val="IntenseQuoteChar"/>
    <w:uiPriority w:val="30"/>
    <w:qFormat/>
    <w:rsid w:val="00737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86E"/>
    <w:rPr>
      <w:i/>
      <w:iCs/>
      <w:color w:val="0F4761" w:themeColor="accent1" w:themeShade="BF"/>
    </w:rPr>
  </w:style>
  <w:style w:type="character" w:styleId="IntenseReference">
    <w:name w:val="Intense Reference"/>
    <w:basedOn w:val="DefaultParagraphFont"/>
    <w:uiPriority w:val="32"/>
    <w:qFormat/>
    <w:rsid w:val="0073786E"/>
    <w:rPr>
      <w:b/>
      <w:bCs/>
      <w:smallCaps/>
      <w:color w:val="0F4761" w:themeColor="accent1" w:themeShade="BF"/>
      <w:spacing w:val="5"/>
    </w:rPr>
  </w:style>
  <w:style w:type="paragraph" w:styleId="Date">
    <w:name w:val="Date"/>
    <w:basedOn w:val="Normal"/>
    <w:next w:val="Normal"/>
    <w:link w:val="DateChar"/>
    <w:uiPriority w:val="99"/>
    <w:semiHidden/>
    <w:unhideWhenUsed/>
    <w:rsid w:val="0073786E"/>
  </w:style>
  <w:style w:type="character" w:customStyle="1" w:styleId="DateChar">
    <w:name w:val="Date Char"/>
    <w:basedOn w:val="DefaultParagraphFont"/>
    <w:link w:val="Date"/>
    <w:uiPriority w:val="99"/>
    <w:semiHidden/>
    <w:rsid w:val="0073786E"/>
  </w:style>
  <w:style w:type="paragraph" w:styleId="Revision">
    <w:name w:val="Revision"/>
    <w:hidden/>
    <w:uiPriority w:val="99"/>
    <w:semiHidden/>
    <w:rsid w:val="00737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127133">
      <w:bodyDiv w:val="1"/>
      <w:marLeft w:val="0"/>
      <w:marRight w:val="0"/>
      <w:marTop w:val="0"/>
      <w:marBottom w:val="0"/>
      <w:divBdr>
        <w:top w:val="none" w:sz="0" w:space="0" w:color="auto"/>
        <w:left w:val="none" w:sz="0" w:space="0" w:color="auto"/>
        <w:bottom w:val="none" w:sz="0" w:space="0" w:color="auto"/>
        <w:right w:val="none" w:sz="0" w:space="0" w:color="auto"/>
      </w:divBdr>
    </w:div>
    <w:div w:id="15243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Terayama, Dylan</dc:creator>
  <cp:keywords/>
  <dc:description/>
  <cp:lastModifiedBy>Terayama, Dylan</cp:lastModifiedBy>
  <cp:revision>1</cp:revision>
  <dcterms:created xsi:type="dcterms:W3CDTF">2025-03-09T03:19:00Z</dcterms:created>
  <dcterms:modified xsi:type="dcterms:W3CDTF">2025-03-09T03:41:00Z</dcterms:modified>
</cp:coreProperties>
</file>