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891B2"/>
          <w:sz w:val="20"/>
          <w:szCs w:val="20"/>
        </w:rPr>
        <w:t xml:space="preserve">PROPUESTA COMERCIAL</w:t>
      </w:r>
    </w:p>
    <w:p>
      <w:pPr>
        <w:spacing w:after="40"/>
      </w:pPr>
      <w:r>
        <w:rPr>
          <w:rFonts w:ascii="Arial" w:cs="Arial" w:eastAsia="Arial" w:hAnsi="Arial"/>
          <w:b/>
          <w:bCs/>
          <w:color w:val="1B4F8A"/>
          <w:sz w:val="56"/>
          <w:szCs w:val="56"/>
        </w:rPr>
        <w:t xml:space="preserve">Cargos paciente</w:t>
      </w:r>
    </w:p>
    <w:p>
      <w:pPr>
        <w:spacing w:after="300"/>
      </w:pPr>
      <w:r>
        <w:rPr>
          <w:rFonts w:ascii="Arial" w:cs="Arial" w:eastAsia="Arial" w:hAnsi="Arial"/>
          <w:i/>
          <w:iCs/>
          <w:color w:val="475569"/>
          <w:sz w:val="24"/>
          <w:szCs w:val="24"/>
        </w:rPr>
        <w:t xml:space="preserve">Sistema de registro inmediato y trazable de insumos por paciente</w:t>
      </w:r>
    </w:p>
    <w:p>
      <w:pPr>
        <w:spacing w:after="120"/>
      </w:pPr>
      <w:r>
        <w:rPr>
          <w:rFonts w:ascii="Arial" w:cs="Arial" w:eastAsia="Arial" w:hAnsi="Arial"/>
          <w:color w:val="94A3B8"/>
          <w:sz w:val="18"/>
          <w:szCs w:val="18"/>
        </w:rPr>
        <w:t xml:space="preserve">Versión 1  ·  29 de julio de 2026  ·  </w:t>
      </w:r>
      <w:r>
        <w:rPr>
          <w:rFonts w:ascii="Arial" w:cs="Arial" w:eastAsia="Arial" w:hAnsi="Arial"/>
          <w:b/>
          <w:bCs/>
          <w:color w:val="94A3B8"/>
          <w:sz w:val="18"/>
          <w:szCs w:val="18"/>
        </w:rPr>
        <w:t xml:space="preserve">Documento confidencial</w:t>
      </w:r>
    </w:p>
    <w:p>
      <w:pPr>
        <w:pBdr>
          <w:bottom w:val="single" w:color="1B4F8A" w:sz="6"/>
        </w:pBdr>
        <w:spacing w:after="240" w:before="120"/>
      </w:pPr>
    </w:p>
    <w:p>
      <w:pPr>
        <w:pStyle w:val="Heading1"/>
        <w:spacing w:after="180" w:before="360"/>
      </w:pPr>
      <w:r>
        <w:rPr>
          <w:rFonts w:ascii="Arial" w:cs="Arial" w:eastAsia="Arial" w:hAnsi="Arial"/>
          <w:b/>
          <w:bCs/>
          <w:color w:val="1B4F8A"/>
          <w:sz w:val="36"/>
          <w:szCs w:val="36"/>
        </w:rPr>
        <w:t xml:space="preserve">Resumen ejecutivo</w:t>
      </w:r>
    </w:p>
    <w:p>
      <w:pPr>
        <w:spacing w:after="140" w:line="320"/>
      </w:pPr>
      <w:r>
        <w:rPr>
          <w:rFonts w:ascii="Arial" w:cs="Arial" w:eastAsia="Arial" w:hAnsi="Arial"/>
          <w:color w:val="1E293B"/>
          <w:sz w:val="22"/>
          <w:szCs w:val="22"/>
        </w:rPr>
        <w:t xml:space="preserve">Cargos paciente es un producto desarrollado por Dito Labs SpA para corregir la pérdida financiera que sufren los servicios clínicos por sub-registro de insumos. El personal clínico registra en el punto de uso, con dos toques, y el personal administrativo recibe todo consolidado y trazable para pasarlo al sistema de facturación.</w:t>
      </w:r>
    </w:p>
    <w:p>
      <w:pPr>
        <w:spacing w:after="140" w:line="320"/>
      </w:pPr>
      <w:r>
        <w:rPr>
          <w:rFonts w:ascii="Arial" w:cs="Arial" w:eastAsia="Arial" w:hAnsi="Arial"/>
          <w:color w:val="1E293B"/>
          <w:sz w:val="22"/>
          <w:szCs w:val="22"/>
        </w:rPr>
        <w:t xml:space="preserve">El prototipo está listo, es responsivo (funciona en celular, tablet y computador) y puede evaluarse hoy desde el link del anexo. La conexión entre perfiles se resuelve con backend gestionado (Supabase), con opción de migrar a servidor interno si la institución lo prefiere. La inversión propuesta se paga sola con la fracción de insumos que hoy la clínica está perdiendo por sub-registro.</w:t>
      </w:r>
    </w:p>
    <w:p>
      <w:pPr>
        <w:pBdr>
          <w:bottom w:val="single" w:color="1B4F8A" w:sz="6"/>
        </w:pBdr>
        <w:spacing w:after="240" w:before="120"/>
      </w:pPr>
    </w:p>
    <w:p>
      <w:pPr>
        <w:pStyle w:val="Heading1"/>
        <w:spacing w:after="180" w:before="360"/>
      </w:pPr>
      <w:r>
        <w:rPr>
          <w:rFonts w:ascii="Arial" w:cs="Arial" w:eastAsia="Arial" w:hAnsi="Arial"/>
          <w:b/>
          <w:bCs/>
          <w:color w:val="1B4F8A"/>
          <w:sz w:val="36"/>
          <w:szCs w:val="36"/>
        </w:rPr>
        <w:t xml:space="preserve">1.  Entendimiento del contexto</w:t>
      </w:r>
    </w:p>
    <w:p>
      <w:pPr>
        <w:spacing w:after="140" w:line="320"/>
      </w:pPr>
      <w:r>
        <w:rPr>
          <w:rFonts w:ascii="Arial" w:cs="Arial" w:eastAsia="Arial" w:hAnsi="Arial"/>
          <w:color w:val="1E293B"/>
          <w:sz w:val="22"/>
          <w:szCs w:val="22"/>
        </w:rPr>
        <w:t xml:space="preserve">En los servicios clínicos, los insumos se registran a mano en una hoja durante el turno. Ese método genera dos pérdidas silenciosas pero recurrentes:</w:t>
      </w:r>
    </w:p>
    <w:p>
      <w:pPr>
        <w:pStyle w:val="ListParagraph"/>
        <w:numPr>
          <w:ilvl w:val="0"/>
          <w:numId w:val="2"/>
        </w:numPr>
        <w:spacing w:after="80" w:line="300"/>
      </w:pPr>
      <w:r>
        <w:rPr>
          <w:rFonts w:ascii="Arial" w:cs="Arial" w:eastAsia="Arial" w:hAnsi="Arial"/>
          <w:color w:val="1E293B"/>
          <w:sz w:val="22"/>
          <w:szCs w:val="22"/>
        </w:rPr>
        <w:t xml:space="preserve">Sub-registro (el problema más costoso): insumos sacados y usados que no se anotan por falta de tiempo o por olvido. La clínica los pagó al proveedor pero no puede cobrarlos.</w:t>
      </w:r>
    </w:p>
    <w:p>
      <w:pPr>
        <w:pStyle w:val="ListParagraph"/>
        <w:numPr>
          <w:ilvl w:val="0"/>
          <w:numId w:val="2"/>
        </w:numPr>
        <w:spacing w:after="80" w:line="300"/>
      </w:pPr>
      <w:r>
        <w:rPr>
          <w:rFonts w:ascii="Arial" w:cs="Arial" w:eastAsia="Arial" w:hAnsi="Arial"/>
          <w:color w:val="1E293B"/>
          <w:sz w:val="22"/>
          <w:szCs w:val="22"/>
        </w:rPr>
        <w:t xml:space="preserve">Sobre-registro: insumos anotados por defecto que nunca se usaron, generando cobros mal hechos que hay que corregir o reembolsar después.</w:t>
      </w:r>
    </w:p>
    <w:p>
      <w:pPr>
        <w:spacing w:after="140" w:line="320"/>
      </w:pPr>
      <w:r>
        <w:rPr>
          <w:rFonts w:ascii="Arial" w:cs="Arial" w:eastAsia="Arial" w:hAnsi="Arial"/>
          <w:color w:val="1E293B"/>
          <w:sz w:val="22"/>
          <w:szCs w:val="22"/>
        </w:rPr>
        <w:t xml:space="preserve">Ambos problemas afectan la línea de resultado del servicio y ninguno se resuelve con más presión al personal clínico: el problema es la herramienta, no la voluntad.</w:t>
      </w:r>
    </w:p>
    <w:p>
      <w:pPr>
        <w:pStyle w:val="Heading1"/>
        <w:spacing w:after="180" w:before="360"/>
      </w:pPr>
      <w:r>
        <w:rPr>
          <w:rFonts w:ascii="Arial" w:cs="Arial" w:eastAsia="Arial" w:hAnsi="Arial"/>
          <w:b/>
          <w:bCs/>
          <w:color w:val="1B4F8A"/>
          <w:sz w:val="36"/>
          <w:szCs w:val="36"/>
        </w:rPr>
        <w:t xml:space="preserve">2.  Nuestra propuesta</w:t>
      </w:r>
    </w:p>
    <w:p>
      <w:pPr>
        <w:spacing w:after="140" w:line="320"/>
      </w:pPr>
      <w:r>
        <w:rPr>
          <w:rFonts w:ascii="Arial" w:cs="Arial" w:eastAsia="Arial" w:hAnsi="Arial"/>
          <w:color w:val="1E293B"/>
          <w:sz w:val="22"/>
          <w:szCs w:val="22"/>
        </w:rPr>
        <w:t xml:space="preserve">Cargos paciente separa las dos tareas que hoy se confunden en una sola hoja de papel:</w:t>
      </w:r>
    </w:p>
    <w:p>
      <w:pPr>
        <w:pStyle w:val="Heading3"/>
        <w:spacing w:after="100" w:before="200"/>
      </w:pPr>
      <w:r>
        <w:rPr>
          <w:rFonts w:ascii="Arial" w:cs="Arial" w:eastAsia="Arial" w:hAnsi="Arial"/>
          <w:b/>
          <w:bCs/>
          <w:color w:val="0891B2"/>
          <w:sz w:val="22"/>
          <w:szCs w:val="22"/>
        </w:rPr>
        <w:t xml:space="preserve">Perfil clínico (tablet fija en el punto de insumos o celular del personal)</w:t>
      </w:r>
    </w:p>
    <w:p>
      <w:pPr>
        <w:pStyle w:val="ListParagraph"/>
        <w:numPr>
          <w:ilvl w:val="0"/>
          <w:numId w:val="2"/>
        </w:numPr>
        <w:spacing w:after="80" w:line="300"/>
      </w:pPr>
      <w:r>
        <w:rPr>
          <w:rFonts w:ascii="Arial" w:cs="Arial" w:eastAsia="Arial" w:hAnsi="Arial"/>
          <w:color w:val="1E293B"/>
          <w:sz w:val="22"/>
          <w:szCs w:val="22"/>
        </w:rPr>
        <w:t xml:space="preserve">Entrada directa sin PIN. La tablet queda amarrada a su unidad.</w:t>
      </w:r>
    </w:p>
    <w:p>
      <w:pPr>
        <w:pStyle w:val="ListParagraph"/>
        <w:numPr>
          <w:ilvl w:val="0"/>
          <w:numId w:val="2"/>
        </w:numPr>
        <w:spacing w:after="80" w:line="300"/>
      </w:pPr>
      <w:r>
        <w:rPr>
          <w:rFonts w:ascii="Arial" w:cs="Arial" w:eastAsia="Arial" w:hAnsi="Arial"/>
          <w:color w:val="1E293B"/>
          <w:sz w:val="22"/>
          <w:szCs w:val="22"/>
        </w:rPr>
        <w:t xml:space="preserve">Pacientes ordenados por número de cama.</w:t>
      </w:r>
    </w:p>
    <w:p>
      <w:pPr>
        <w:pStyle w:val="ListParagraph"/>
        <w:numPr>
          <w:ilvl w:val="0"/>
          <w:numId w:val="2"/>
        </w:numPr>
        <w:spacing w:after="80" w:line="300"/>
      </w:pPr>
      <w:r>
        <w:rPr>
          <w:rFonts w:ascii="Arial" w:cs="Arial" w:eastAsia="Arial" w:hAnsi="Arial"/>
          <w:color w:val="1E293B"/>
          <w:sz w:val="22"/>
          <w:szCs w:val="22"/>
        </w:rPr>
        <w:t xml:space="preserve">Solo aparecen los insumos que esa unidad tiene en stock.</w:t>
      </w:r>
    </w:p>
    <w:p>
      <w:pPr>
        <w:pStyle w:val="ListParagraph"/>
        <w:numPr>
          <w:ilvl w:val="0"/>
          <w:numId w:val="2"/>
        </w:numPr>
        <w:spacing w:after="80" w:line="300"/>
      </w:pPr>
      <w:r>
        <w:rPr>
          <w:rFonts w:ascii="Arial" w:cs="Arial" w:eastAsia="Arial" w:hAnsi="Arial"/>
          <w:color w:val="1E293B"/>
          <w:sz w:val="22"/>
          <w:szCs w:val="22"/>
        </w:rPr>
        <w:t xml:space="preserve">Registro en dos toques: marcar cantidades y confirmar con el nombre del responsable.</w:t>
      </w:r>
    </w:p>
    <w:p>
      <w:pPr>
        <w:pStyle w:val="ListParagraph"/>
        <w:numPr>
          <w:ilvl w:val="0"/>
          <w:numId w:val="2"/>
        </w:numPr>
        <w:spacing w:after="80" w:line="300"/>
      </w:pPr>
      <w:r>
        <w:rPr>
          <w:rFonts w:ascii="Arial" w:cs="Arial" w:eastAsia="Arial" w:hAnsi="Arial"/>
          <w:color w:val="1E293B"/>
          <w:sz w:val="22"/>
          <w:szCs w:val="22"/>
        </w:rPr>
        <w:t xml:space="preserve">Devoluciones nativas: si se sacó de más, se registra. La app no permite devolver más de lo cargado.</w:t>
      </w:r>
    </w:p>
    <w:p>
      <w:pPr>
        <w:pStyle w:val="ListParagraph"/>
        <w:numPr>
          <w:ilvl w:val="0"/>
          <w:numId w:val="2"/>
        </w:numPr>
        <w:spacing w:after="80" w:line="300"/>
      </w:pPr>
      <w:r>
        <w:rPr>
          <w:rFonts w:ascii="Arial" w:cs="Arial" w:eastAsia="Arial" w:hAnsi="Arial"/>
          <w:color w:val="1E293B"/>
          <w:sz w:val="22"/>
          <w:szCs w:val="22"/>
        </w:rPr>
        <w:t xml:space="preserve">Anulación con rastro: cualquier carga se puede anular; queda marcada, no desaparece.</w:t>
      </w:r>
    </w:p>
    <w:p>
      <w:pPr>
        <w:pStyle w:val="Heading3"/>
        <w:spacing w:after="100" w:before="200"/>
      </w:pPr>
      <w:r>
        <w:rPr>
          <w:rFonts w:ascii="Arial" w:cs="Arial" w:eastAsia="Arial" w:hAnsi="Arial"/>
          <w:b/>
          <w:bCs/>
          <w:color w:val="0891B2"/>
          <w:sz w:val="22"/>
          <w:szCs w:val="22"/>
        </w:rPr>
        <w:t xml:space="preserve">Perfil administrativo (con PIN)</w:t>
      </w:r>
    </w:p>
    <w:p>
      <w:pPr>
        <w:pStyle w:val="ListParagraph"/>
        <w:numPr>
          <w:ilvl w:val="0"/>
          <w:numId w:val="2"/>
        </w:numPr>
        <w:spacing w:after="80" w:line="300"/>
      </w:pPr>
      <w:r>
        <w:rPr>
          <w:rFonts w:ascii="Arial" w:cs="Arial" w:eastAsia="Arial" w:hAnsi="Arial"/>
          <w:color w:val="1E293B"/>
          <w:sz w:val="22"/>
          <w:szCs w:val="22"/>
        </w:rPr>
        <w:t xml:space="preserve">Turno: todas las cargas del día por paciente, con total consolidado y detalle de quién cargó qué, desde qué unidad y a qué hora.</w:t>
      </w:r>
    </w:p>
    <w:p>
      <w:pPr>
        <w:pStyle w:val="ListParagraph"/>
        <w:numPr>
          <w:ilvl w:val="0"/>
          <w:numId w:val="2"/>
        </w:numPr>
        <w:spacing w:after="80" w:line="300"/>
      </w:pPr>
      <w:r>
        <w:rPr>
          <w:rFonts w:ascii="Arial" w:cs="Arial" w:eastAsia="Arial" w:hAnsi="Arial"/>
          <w:color w:val="1E293B"/>
          <w:sz w:val="22"/>
          <w:szCs w:val="22"/>
        </w:rPr>
        <w:t xml:space="preserve">Uso: ranking de insumos más consumidos, con filtros temporales. Base objetiva para diseñar carritos de enfermería y ajustar stock.</w:t>
      </w:r>
    </w:p>
    <w:p>
      <w:pPr>
        <w:pStyle w:val="ListParagraph"/>
        <w:numPr>
          <w:ilvl w:val="0"/>
          <w:numId w:val="2"/>
        </w:numPr>
        <w:spacing w:after="80" w:line="300"/>
      </w:pPr>
      <w:r>
        <w:rPr>
          <w:rFonts w:ascii="Arial" w:cs="Arial" w:eastAsia="Arial" w:hAnsi="Arial"/>
          <w:color w:val="1E293B"/>
          <w:sz w:val="22"/>
          <w:szCs w:val="22"/>
        </w:rPr>
        <w:t xml:space="preserve">Pacientes: lista completa con indicador de pendientes.</w:t>
      </w:r>
    </w:p>
    <w:p>
      <w:pPr>
        <w:pStyle w:val="ListParagraph"/>
        <w:numPr>
          <w:ilvl w:val="0"/>
          <w:numId w:val="2"/>
        </w:numPr>
        <w:spacing w:after="80" w:line="300"/>
      </w:pPr>
      <w:r>
        <w:rPr>
          <w:rFonts w:ascii="Arial" w:cs="Arial" w:eastAsia="Arial" w:hAnsi="Arial"/>
          <w:color w:val="1E293B"/>
          <w:sz w:val="22"/>
          <w:szCs w:val="22"/>
        </w:rPr>
        <w:t xml:space="preserve">Personal: alta y baja de responsables por unidad.</w:t>
      </w:r>
    </w:p>
    <w:p>
      <w:pPr>
        <w:pStyle w:val="Heading3"/>
        <w:spacing w:after="100" w:before="200"/>
      </w:pPr>
      <w:r>
        <w:rPr>
          <w:rFonts w:ascii="Arial" w:cs="Arial" w:eastAsia="Arial" w:hAnsi="Arial"/>
          <w:b/>
          <w:bCs/>
          <w:color w:val="0891B2"/>
          <w:sz w:val="22"/>
          <w:szCs w:val="22"/>
        </w:rPr>
        <w:t xml:space="preserve">Confidencialidad</w:t>
      </w:r>
    </w:p>
    <w:p>
      <w:pPr>
        <w:spacing w:after="140" w:line="320"/>
      </w:pPr>
      <w:r>
        <w:rPr>
          <w:rFonts w:ascii="Arial" w:cs="Arial" w:eastAsia="Arial" w:hAnsi="Arial"/>
          <w:color w:val="1E293B"/>
          <w:sz w:val="22"/>
          <w:szCs w:val="22"/>
        </w:rPr>
        <w:t xml:space="preserve">Cargos paciente identifica al paciente solo por cama y número de admisión. No almacena nombre, RUT ni información clínica sensible. Esto simplifica cualquier revisión con el área de compliance o el comité de datos de la institución.</w:t>
      </w:r>
    </w:p>
    <w:p>
      <w:pPr>
        <w:pStyle w:val="Heading1"/>
        <w:spacing w:after="180" w:before="360"/>
      </w:pPr>
      <w:r>
        <w:rPr>
          <w:rFonts w:ascii="Arial" w:cs="Arial" w:eastAsia="Arial" w:hAnsi="Arial"/>
          <w:b/>
          <w:bCs/>
          <w:color w:val="1B4F8A"/>
          <w:sz w:val="36"/>
          <w:szCs w:val="36"/>
        </w:rPr>
        <w:t xml:space="preserve">3.  Alcance del servicio</w:t>
      </w:r>
    </w:p>
    <w:p>
      <w:pPr>
        <w:pStyle w:val="Heading3"/>
        <w:spacing w:after="100" w:before="200"/>
      </w:pPr>
      <w:r>
        <w:rPr>
          <w:rFonts w:ascii="Arial" w:cs="Arial" w:eastAsia="Arial" w:hAnsi="Arial"/>
          <w:b/>
          <w:bCs/>
          <w:color w:val="0891B2"/>
          <w:sz w:val="22"/>
          <w:szCs w:val="22"/>
        </w:rPr>
        <w:t xml:space="preserve">Incluido</w:t>
      </w:r>
    </w:p>
    <w:p>
      <w:pPr>
        <w:pStyle w:val="ListParagraph"/>
        <w:numPr>
          <w:ilvl w:val="0"/>
          <w:numId w:val="2"/>
        </w:numPr>
        <w:spacing w:after="80" w:line="300"/>
      </w:pPr>
      <w:r>
        <w:rPr>
          <w:rFonts w:ascii="Arial" w:cs="Arial" w:eastAsia="Arial" w:hAnsi="Arial"/>
          <w:color w:val="1E293B"/>
          <w:sz w:val="22"/>
          <w:szCs w:val="22"/>
        </w:rPr>
        <w:t xml:space="preserve">Configuración del catálogo real de insumos de la unidad.</w:t>
      </w:r>
    </w:p>
    <w:p>
      <w:pPr>
        <w:pStyle w:val="ListParagraph"/>
        <w:numPr>
          <w:ilvl w:val="0"/>
          <w:numId w:val="2"/>
        </w:numPr>
        <w:spacing w:after="80" w:line="300"/>
      </w:pPr>
      <w:r>
        <w:rPr>
          <w:rFonts w:ascii="Arial" w:cs="Arial" w:eastAsia="Arial" w:hAnsi="Arial"/>
          <w:color w:val="1E293B"/>
          <w:sz w:val="22"/>
          <w:szCs w:val="22"/>
        </w:rPr>
        <w:t xml:space="preserve">Alta del personal clínico y asignación por unidad.</w:t>
      </w:r>
    </w:p>
    <w:p>
      <w:pPr>
        <w:pStyle w:val="ListParagraph"/>
        <w:numPr>
          <w:ilvl w:val="0"/>
          <w:numId w:val="2"/>
        </w:numPr>
        <w:spacing w:after="80" w:line="300"/>
      </w:pPr>
      <w:r>
        <w:rPr>
          <w:rFonts w:ascii="Arial" w:cs="Arial" w:eastAsia="Arial" w:hAnsi="Arial"/>
          <w:color w:val="1E293B"/>
          <w:sz w:val="22"/>
          <w:szCs w:val="22"/>
        </w:rPr>
        <w:t xml:space="preserve">Instalación como PWA en las tablets y computador administrativo.</w:t>
      </w:r>
    </w:p>
    <w:p>
      <w:pPr>
        <w:pStyle w:val="ListParagraph"/>
        <w:numPr>
          <w:ilvl w:val="0"/>
          <w:numId w:val="2"/>
        </w:numPr>
        <w:spacing w:after="80" w:line="300"/>
      </w:pPr>
      <w:r>
        <w:rPr>
          <w:rFonts w:ascii="Arial" w:cs="Arial" w:eastAsia="Arial" w:hAnsi="Arial"/>
          <w:color w:val="1E293B"/>
          <w:sz w:val="22"/>
          <w:szCs w:val="22"/>
        </w:rPr>
        <w:t xml:space="preserve">Capacitación al personal clínico y al administrativo.</w:t>
      </w:r>
    </w:p>
    <w:p>
      <w:pPr>
        <w:pStyle w:val="ListParagraph"/>
        <w:numPr>
          <w:ilvl w:val="0"/>
          <w:numId w:val="2"/>
        </w:numPr>
        <w:spacing w:after="80" w:line="300"/>
      </w:pPr>
      <w:r>
        <w:rPr>
          <w:rFonts w:ascii="Arial" w:cs="Arial" w:eastAsia="Arial" w:hAnsi="Arial"/>
          <w:color w:val="1E293B"/>
          <w:sz w:val="22"/>
          <w:szCs w:val="22"/>
        </w:rPr>
        <w:t xml:space="preserve">Hosting, sincronización en tiempo real, backups automáticos y actualizaciones continuas del producto.</w:t>
      </w:r>
    </w:p>
    <w:p>
      <w:pPr>
        <w:pStyle w:val="ListParagraph"/>
        <w:numPr>
          <w:ilvl w:val="0"/>
          <w:numId w:val="2"/>
        </w:numPr>
        <w:spacing w:after="80" w:line="300"/>
      </w:pPr>
      <w:r>
        <w:rPr>
          <w:rFonts w:ascii="Arial" w:cs="Arial" w:eastAsia="Arial" w:hAnsi="Arial"/>
          <w:color w:val="1E293B"/>
          <w:sz w:val="22"/>
          <w:szCs w:val="22"/>
        </w:rPr>
        <w:t xml:space="preserve">Soporte técnico en horario hábil.</w:t>
      </w:r>
    </w:p>
    <w:p>
      <w:pPr>
        <w:pStyle w:val="Heading3"/>
        <w:spacing w:after="100" w:before="200"/>
      </w:pPr>
      <w:r>
        <w:rPr>
          <w:rFonts w:ascii="Arial" w:cs="Arial" w:eastAsia="Arial" w:hAnsi="Arial"/>
          <w:b/>
          <w:bCs/>
          <w:color w:val="0891B2"/>
          <w:sz w:val="22"/>
          <w:szCs w:val="22"/>
        </w:rPr>
        <w:t xml:space="preserve">No incluido en esta propuesta</w:t>
      </w:r>
    </w:p>
    <w:p>
      <w:pPr>
        <w:pStyle w:val="ListParagraph"/>
        <w:numPr>
          <w:ilvl w:val="0"/>
          <w:numId w:val="2"/>
        </w:numPr>
        <w:spacing w:after="80" w:line="300"/>
      </w:pPr>
      <w:r>
        <w:rPr>
          <w:rFonts w:ascii="Arial" w:cs="Arial" w:eastAsia="Arial" w:hAnsi="Arial"/>
          <w:color w:val="1E293B"/>
          <w:sz w:val="22"/>
          <w:szCs w:val="22"/>
        </w:rPr>
        <w:t xml:space="preserve">Provisión de hardware (tablets y computadores).</w:t>
      </w:r>
    </w:p>
    <w:p>
      <w:pPr>
        <w:pStyle w:val="ListParagraph"/>
        <w:numPr>
          <w:ilvl w:val="0"/>
          <w:numId w:val="2"/>
        </w:numPr>
        <w:spacing w:after="80" w:line="300"/>
      </w:pPr>
      <w:r>
        <w:rPr>
          <w:rFonts w:ascii="Arial" w:cs="Arial" w:eastAsia="Arial" w:hAnsi="Arial"/>
          <w:color w:val="1E293B"/>
          <w:sz w:val="22"/>
          <w:szCs w:val="22"/>
        </w:rPr>
        <w:t xml:space="preserve">Integración con el sistema de facturación de la clínica vía API. En esta fase, el pase se hace con "Copiar todo" al portapapeles. La integración directa se ofrece como fase posterior.</w:t>
      </w:r>
    </w:p>
    <w:p>
      <w:pPr>
        <w:pStyle w:val="ListParagraph"/>
        <w:numPr>
          <w:ilvl w:val="0"/>
          <w:numId w:val="2"/>
        </w:numPr>
        <w:spacing w:after="80" w:line="300"/>
      </w:pPr>
      <w:r>
        <w:rPr>
          <w:rFonts w:ascii="Arial" w:cs="Arial" w:eastAsia="Arial" w:hAnsi="Arial"/>
          <w:color w:val="1E293B"/>
          <w:sz w:val="22"/>
          <w:szCs w:val="22"/>
        </w:rPr>
        <w:t xml:space="preserve">Personalización profunda del producto que requiera desarrollo dedicado.</w:t>
      </w:r>
    </w:p>
    <w:p>
      <w:pPr>
        <w:pStyle w:val="Heading1"/>
        <w:spacing w:after="180" w:before="360"/>
      </w:pPr>
      <w:r>
        <w:rPr>
          <w:rFonts w:ascii="Arial" w:cs="Arial" w:eastAsia="Arial" w:hAnsi="Arial"/>
          <w:b/>
          <w:bCs/>
          <w:color w:val="1B4F8A"/>
          <w:sz w:val="36"/>
          <w:szCs w:val="36"/>
        </w:rPr>
        <w:t xml:space="preserve">4.  Implementación</w:t>
      </w:r>
    </w:p>
    <w:p>
      <w:pPr>
        <w:spacing w:after="140" w:line="320"/>
      </w:pPr>
      <w:r>
        <w:rPr>
          <w:rFonts w:ascii="Arial" w:cs="Arial" w:eastAsia="Arial" w:hAnsi="Arial"/>
          <w:color w:val="1E293B"/>
          <w:sz w:val="22"/>
          <w:szCs w:val="22"/>
        </w:rPr>
        <w:t xml:space="preserve">Cinco fases del acuerdo, con responsables definidos por lado: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2560"/>
      </w:tblGrid>
      <w:tr>
        <w:trPr>
          <w:tblHeader/>
        </w:trPr>
        <w:tc>
          <w:tcPr>
            <w:tcW w:type="dxa" w:w="500"/>
            <w:shd w:fill="1B4F8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t>
            </w:r>
          </w:p>
        </w:tc>
        <w:tc>
          <w:tcPr>
            <w:tcW w:type="dxa" w:w="2800"/>
            <w:shd w:fill="1B4F8A"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Fase</w:t>
            </w:r>
          </w:p>
        </w:tc>
        <w:tc>
          <w:tcPr>
            <w:tcW w:type="dxa" w:w="3200"/>
            <w:shd w:fill="1B4F8A"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Alcance</w:t>
            </w:r>
          </w:p>
        </w:tc>
        <w:tc>
          <w:tcPr>
            <w:tcW w:type="dxa" w:w="2560"/>
            <w:shd w:fill="1B4F8A"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Responsable</w:t>
            </w:r>
          </w:p>
        </w:tc>
      </w:tr>
      <w:tr>
        <w:trPr>
          <w:tblHeader w:val="false"/>
        </w:trPr>
        <w:tc>
          <w:tcPr>
            <w:tcW w:type="dxa" w:w="500"/>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1</w:t>
            </w:r>
          </w:p>
        </w:tc>
        <w:tc>
          <w:tcPr>
            <w:tcW w:type="dxa" w:w="28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Validación</w:t>
            </w:r>
          </w:p>
        </w:tc>
        <w:tc>
          <w:tcPr>
            <w:tcW w:type="dxa" w:w="32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Reunión de definiciones, ajuste de catálogo real y personal</w:t>
            </w:r>
          </w:p>
        </w:tc>
        <w:tc>
          <w:tcPr>
            <w:tcW w:type="dxa" w:w="256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Dito Labs + servicio</w:t>
            </w:r>
          </w:p>
        </w:tc>
      </w:tr>
      <w:tr>
        <w:trPr>
          <w:tblHeader w:val="false"/>
        </w:trPr>
        <w:tc>
          <w:tcPr>
            <w:tcW w:type="dxa" w:w="500"/>
            <w:shd w:fill="F1F5F9" w:val="clear"/>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2</w:t>
            </w:r>
          </w:p>
        </w:tc>
        <w:tc>
          <w:tcPr>
            <w:tcW w:type="dxa" w:w="28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Configuración</w:t>
            </w:r>
          </w:p>
        </w:tc>
        <w:tc>
          <w:tcPr>
            <w:tcW w:type="dxa" w:w="32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Setup del backend, carga de catálogo, alta de personal, instalación en tablets</w:t>
            </w:r>
          </w:p>
        </w:tc>
        <w:tc>
          <w:tcPr>
            <w:tcW w:type="dxa" w:w="256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Dito Labs</w:t>
            </w:r>
          </w:p>
        </w:tc>
      </w:tr>
      <w:tr>
        <w:trPr>
          <w:tblHeader w:val="false"/>
        </w:trPr>
        <w:tc>
          <w:tcPr>
            <w:tcW w:type="dxa" w:w="500"/>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3</w:t>
            </w:r>
          </w:p>
        </w:tc>
        <w:tc>
          <w:tcPr>
            <w:tcW w:type="dxa" w:w="28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Capacitación</w:t>
            </w:r>
          </w:p>
        </w:tc>
        <w:tc>
          <w:tcPr>
            <w:tcW w:type="dxa" w:w="32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Sesión al personal clínico (30 min) y al administrativo (60 min)</w:t>
            </w:r>
          </w:p>
        </w:tc>
        <w:tc>
          <w:tcPr>
            <w:tcW w:type="dxa" w:w="256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Dito Labs</w:t>
            </w:r>
          </w:p>
        </w:tc>
      </w:tr>
      <w:tr>
        <w:trPr>
          <w:tblHeader w:val="false"/>
        </w:trPr>
        <w:tc>
          <w:tcPr>
            <w:tcW w:type="dxa" w:w="500"/>
            <w:shd w:fill="F1F5F9" w:val="clear"/>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4</w:t>
            </w:r>
          </w:p>
        </w:tc>
        <w:tc>
          <w:tcPr>
            <w:tcW w:type="dxa" w:w="28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Piloto operativo</w:t>
            </w:r>
          </w:p>
        </w:tc>
        <w:tc>
          <w:tcPr>
            <w:tcW w:type="dxa" w:w="32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Uso real por un mes con acompañamiento y ajustes</w:t>
            </w:r>
          </w:p>
        </w:tc>
        <w:tc>
          <w:tcPr>
            <w:tcW w:type="dxa" w:w="256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Servicio</w:t>
            </w:r>
          </w:p>
        </w:tc>
      </w:tr>
      <w:tr>
        <w:trPr>
          <w:tblHeader w:val="false"/>
        </w:trPr>
        <w:tc>
          <w:tcPr>
            <w:tcW w:type="dxa" w:w="500"/>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5</w:t>
            </w:r>
          </w:p>
        </w:tc>
        <w:tc>
          <w:tcPr>
            <w:tcW w:type="dxa" w:w="28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Evaluación</w:t>
            </w:r>
          </w:p>
        </w:tc>
        <w:tc>
          <w:tcPr>
            <w:tcW w:type="dxa" w:w="32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Medición del impacto, decisión de continuidad y expansión</w:t>
            </w:r>
          </w:p>
        </w:tc>
        <w:tc>
          <w:tcPr>
            <w:tcW w:type="dxa" w:w="256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Dito Labs + jefatura</w:t>
            </w:r>
          </w:p>
        </w:tc>
      </w:tr>
    </w:tbl>
    <w:p>
      <w:pPr>
        <w:spacing w:after="200"/>
      </w:pPr>
    </w:p>
    <w:p>
      <w:pPr>
        <w:spacing w:after="140" w:line="320"/>
      </w:pPr>
      <w:r>
        <w:rPr>
          <w:rFonts w:ascii="Arial" w:cs="Arial" w:eastAsia="Arial" w:hAnsi="Arial"/>
          <w:color w:val="1E293B"/>
          <w:sz w:val="22"/>
          <w:szCs w:val="22"/>
        </w:rPr>
        <w:t xml:space="preserve">El plazo estimado desde la firma hasta el inicio del piloto operativo es de 3 a 4 semanas.</w:t>
      </w:r>
    </w:p>
    <w:p>
      <w:pPr>
        <w:pStyle w:val="Heading1"/>
        <w:spacing w:after="180" w:before="360"/>
      </w:pPr>
      <w:r>
        <w:rPr>
          <w:rFonts w:ascii="Arial" w:cs="Arial" w:eastAsia="Arial" w:hAnsi="Arial"/>
          <w:b/>
          <w:bCs/>
          <w:color w:val="1B4F8A"/>
          <w:sz w:val="36"/>
          <w:szCs w:val="36"/>
        </w:rPr>
        <w:t xml:space="preserve">5.  Inversión</w:t>
      </w:r>
    </w:p>
    <w:p>
      <w:pPr>
        <w:spacing w:after="140" w:line="320"/>
      </w:pPr>
      <w:r>
        <w:rPr>
          <w:rFonts w:ascii="Arial" w:cs="Arial" w:eastAsia="Arial" w:hAnsi="Arial"/>
          <w:color w:val="1E293B"/>
          <w:sz w:val="22"/>
          <w:szCs w:val="22"/>
        </w:rPr>
        <w:t xml:space="preserve">Modelo SaaS: puesta en marcha una sola vez, más suscripción mensual por unidad activa.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60"/>
      </w:tblGrid>
      <w:tr>
        <w:trPr>
          <w:tblHeader/>
        </w:trPr>
        <w:tc>
          <w:tcPr>
            <w:tcW w:type="dxa" w:w="3000"/>
            <w:shd w:fill="1B4F8A"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Concepto</w:t>
            </w:r>
          </w:p>
        </w:tc>
        <w:tc>
          <w:tcPr>
            <w:tcW w:type="dxa" w:w="3200"/>
            <w:shd w:fill="1B4F8A"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Modalidad</w:t>
            </w:r>
          </w:p>
        </w:tc>
        <w:tc>
          <w:tcPr>
            <w:tcW w:type="dxa" w:w="2860"/>
            <w:shd w:fill="1B4F8A"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Valor referencial</w:t>
            </w:r>
          </w:p>
        </w:tc>
      </w:tr>
      <w:tr>
        <w:tc>
          <w:tcPr>
            <w:tcW w:type="dxa" w:w="30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Puesta en marcha</w:t>
            </w:r>
          </w:p>
        </w:tc>
        <w:tc>
          <w:tcPr>
            <w:tcW w:type="dxa" w:w="32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Pago único</w:t>
            </w:r>
          </w:p>
        </w:tc>
        <w:tc>
          <w:tcPr>
            <w:tcW w:type="dxa" w:w="2860"/>
            <w:tcMar>
              <w:top w:type="dxa" w:w="120"/>
              <w:left w:type="dxa" w:w="160"/>
              <w:bottom w:type="dxa" w:w="120"/>
              <w:right w:type="dxa" w:w="160"/>
            </w:tcMar>
          </w:tcPr>
          <w:p>
            <w:pPr>
              <w:jc w:val="right"/>
            </w:pPr>
            <w:r>
              <w:rPr>
                <w:rFonts w:ascii="Arial" w:cs="Arial" w:eastAsia="Arial" w:hAnsi="Arial"/>
                <w:b w:val="false"/>
                <w:bCs w:val="false"/>
                <w:color w:val="1E293B"/>
                <w:sz w:val="20"/>
                <w:szCs w:val="20"/>
              </w:rPr>
              <w:t xml:space="preserve">20 – 40 UF</w:t>
            </w:r>
          </w:p>
        </w:tc>
      </w:tr>
      <w:tr>
        <w:tc>
          <w:tcPr>
            <w:tcW w:type="dxa" w:w="3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Suscripción SaaS</w:t>
            </w:r>
          </w:p>
        </w:tc>
        <w:tc>
          <w:tcPr>
            <w:tcW w:type="dxa" w:w="32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Mensual, por unidad activa</w:t>
            </w:r>
          </w:p>
        </w:tc>
        <w:tc>
          <w:tcPr>
            <w:tcW w:type="dxa" w:w="2860"/>
            <w:shd w:fill="F1F5F9" w:val="clear"/>
            <w:tcMar>
              <w:top w:type="dxa" w:w="120"/>
              <w:left w:type="dxa" w:w="160"/>
              <w:bottom w:type="dxa" w:w="120"/>
              <w:right w:type="dxa" w:w="160"/>
            </w:tcMar>
          </w:tcPr>
          <w:p>
            <w:pPr>
              <w:jc w:val="right"/>
            </w:pPr>
            <w:r>
              <w:rPr>
                <w:rFonts w:ascii="Arial" w:cs="Arial" w:eastAsia="Arial" w:hAnsi="Arial"/>
                <w:b w:val="false"/>
                <w:bCs w:val="false"/>
                <w:color w:val="1E293B"/>
                <w:sz w:val="20"/>
                <w:szCs w:val="20"/>
              </w:rPr>
              <w:t xml:space="preserve">2 – 4 UF / mes</w:t>
            </w:r>
          </w:p>
        </w:tc>
      </w:tr>
      <w:tr>
        <w:tc>
          <w:tcPr>
            <w:tcW w:type="dxa" w:w="30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Licencia self-hosted</w:t>
            </w:r>
          </w:p>
        </w:tc>
        <w:tc>
          <w:tcPr>
            <w:tcW w:type="dxa" w:w="3200"/>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Anual, servidor en la clínica</w:t>
            </w:r>
          </w:p>
        </w:tc>
        <w:tc>
          <w:tcPr>
            <w:tcW w:type="dxa" w:w="2860"/>
            <w:tcMar>
              <w:top w:type="dxa" w:w="120"/>
              <w:left w:type="dxa" w:w="160"/>
              <w:bottom w:type="dxa" w:w="120"/>
              <w:right w:type="dxa" w:w="160"/>
            </w:tcMar>
          </w:tcPr>
          <w:p>
            <w:pPr>
              <w:jc w:val="right"/>
            </w:pPr>
            <w:r>
              <w:rPr>
                <w:rFonts w:ascii="Arial" w:cs="Arial" w:eastAsia="Arial" w:hAnsi="Arial"/>
                <w:b w:val="false"/>
                <w:bCs w:val="false"/>
                <w:color w:val="1E293B"/>
                <w:sz w:val="20"/>
                <w:szCs w:val="20"/>
              </w:rPr>
              <w:t xml:space="preserve">75 – 125 UF / año</w:t>
            </w:r>
          </w:p>
        </w:tc>
      </w:tr>
      <w:tr>
        <w:tc>
          <w:tcPr>
            <w:tcW w:type="dxa" w:w="3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Piloto reducido</w:t>
            </w:r>
          </w:p>
        </w:tc>
        <w:tc>
          <w:tcPr>
            <w:tcW w:type="dxa" w:w="32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20"/>
                <w:szCs w:val="20"/>
              </w:rPr>
              <w:t xml:space="preserve">Primer mes con precio simbólico</w:t>
            </w:r>
          </w:p>
        </w:tc>
        <w:tc>
          <w:tcPr>
            <w:tcW w:type="dxa" w:w="2860"/>
            <w:shd w:fill="F1F5F9" w:val="clear"/>
            <w:tcMar>
              <w:top w:type="dxa" w:w="120"/>
              <w:left w:type="dxa" w:w="160"/>
              <w:bottom w:type="dxa" w:w="120"/>
              <w:right w:type="dxa" w:w="160"/>
            </w:tcMar>
          </w:tcPr>
          <w:p>
            <w:pPr>
              <w:jc w:val="right"/>
            </w:pPr>
            <w:r>
              <w:rPr>
                <w:rFonts w:ascii="Arial" w:cs="Arial" w:eastAsia="Arial" w:hAnsi="Arial"/>
                <w:b w:val="false"/>
                <w:bCs w:val="false"/>
                <w:color w:val="1E293B"/>
                <w:sz w:val="20"/>
                <w:szCs w:val="20"/>
              </w:rPr>
              <w:t xml:space="preserve">A convenir</w:t>
            </w:r>
          </w:p>
        </w:tc>
      </w:tr>
    </w:tbl>
    <w:p>
      <w:pPr>
        <w:spacing w:after="200"/>
      </w:pPr>
    </w:p>
    <w:p>
      <w:pPr>
        <w:spacing w:after="140" w:line="320"/>
      </w:pPr>
      <w:r>
        <w:rPr>
          <w:rFonts w:ascii="Arial" w:cs="Arial" w:eastAsia="Arial" w:hAnsi="Arial"/>
          <w:color w:val="1E293B"/>
          <w:sz w:val="22"/>
          <w:szCs w:val="22"/>
        </w:rPr>
        <w:t xml:space="preserve">La suscripción incluye hosting gestionado, sincronización en tiempo real, backups diarios, actualizaciones continuas y soporte técnico. Los valores son referenciales y se ajustan en conversación comercial según cantidad de unidades, complejidad del catálogo y modalidad elegida.</w:t>
      </w:r>
    </w:p>
    <w:p>
      <w:pPr>
        <w:pStyle w:val="Heading3"/>
        <w:spacing w:after="100" w:before="200"/>
      </w:pPr>
      <w:r>
        <w:rPr>
          <w:rFonts w:ascii="Arial" w:cs="Arial" w:eastAsia="Arial" w:hAnsi="Arial"/>
          <w:b/>
          <w:bCs/>
          <w:color w:val="0891B2"/>
          <w:sz w:val="22"/>
          <w:szCs w:val="22"/>
        </w:rPr>
        <w:t xml:space="preserve">Argumento económico</w:t>
      </w:r>
    </w:p>
    <w:p>
      <w:pPr>
        <w:spacing w:after="140" w:line="320"/>
      </w:pPr>
      <w:r>
        <w:rPr>
          <w:rFonts w:ascii="Arial" w:cs="Arial" w:eastAsia="Arial" w:hAnsi="Arial"/>
          <w:color w:val="1E293B"/>
          <w:sz w:val="22"/>
          <w:szCs w:val="22"/>
        </w:rPr>
        <w:t xml:space="preserve">El costo mensual se paga sólo con la fracción de insumos que hoy se están perdiendo por sub-registro. La institución no está evaluando un gasto nuevo: está recuperando ingresos que ya está dejando de percibir.</w:t>
      </w:r>
    </w:p>
    <w:p>
      <w:pPr>
        <w:spacing w:after="140" w:line="320"/>
      </w:pPr>
      <w:r>
        <w:rPr>
          <w:rFonts w:ascii="Arial" w:cs="Arial" w:eastAsia="Arial" w:hAnsi="Arial"/>
          <w:color w:val="1E293B"/>
          <w:sz w:val="22"/>
          <w:szCs w:val="22"/>
        </w:rPr>
        <w:t xml:space="preserve">Dito Labs propone medir el volumen recuperado durante el piloto y usar ese dato como base para la decisión de continuidad. Sin evidencia dura de valor, no hay expansión.</w:t>
      </w:r>
    </w:p>
    <w:p>
      <w:pPr>
        <w:pStyle w:val="Heading1"/>
        <w:spacing w:after="180" w:before="360"/>
      </w:pPr>
      <w:r>
        <w:rPr>
          <w:rFonts w:ascii="Arial" w:cs="Arial" w:eastAsia="Arial" w:hAnsi="Arial"/>
          <w:b/>
          <w:bCs/>
          <w:color w:val="1B4F8A"/>
          <w:sz w:val="36"/>
          <w:szCs w:val="36"/>
        </w:rPr>
        <w:t xml:space="preserve">6.  Por qué Dito Labs</w:t>
      </w:r>
    </w:p>
    <w:p>
      <w:pPr>
        <w:pStyle w:val="Heading3"/>
        <w:spacing w:after="100" w:before="200"/>
      </w:pPr>
      <w:r>
        <w:rPr>
          <w:rFonts w:ascii="Arial" w:cs="Arial" w:eastAsia="Arial" w:hAnsi="Arial"/>
          <w:b/>
          <w:bCs/>
          <w:color w:val="0891B2"/>
          <w:sz w:val="22"/>
          <w:szCs w:val="22"/>
        </w:rPr>
        <w:t xml:space="preserve">Origen clínico del producto</w:t>
      </w:r>
    </w:p>
    <w:p>
      <w:pPr>
        <w:spacing w:after="140" w:line="320"/>
      </w:pPr>
      <w:r>
        <w:rPr>
          <w:rFonts w:ascii="Arial" w:cs="Arial" w:eastAsia="Arial" w:hAnsi="Arial"/>
          <w:color w:val="1E293B"/>
          <w:sz w:val="22"/>
          <w:szCs w:val="22"/>
        </w:rPr>
        <w:t xml:space="preserve">Cargos paciente fue diseñado por un profesional clínico que vio el problema en su servicio. Las decisiones de UX (dos toques, sin PIN, orden por cama, devoluciones nativas) responden a la operación real del turno, no a supuestos de escritorio.</w:t>
      </w:r>
    </w:p>
    <w:p>
      <w:pPr>
        <w:pStyle w:val="Heading3"/>
        <w:spacing w:after="100" w:before="200"/>
      </w:pPr>
      <w:r>
        <w:rPr>
          <w:rFonts w:ascii="Arial" w:cs="Arial" w:eastAsia="Arial" w:hAnsi="Arial"/>
          <w:b/>
          <w:bCs/>
          <w:color w:val="0891B2"/>
          <w:sz w:val="22"/>
          <w:szCs w:val="22"/>
        </w:rPr>
        <w:t xml:space="preserve">Contexto regulatorio chileno</w:t>
      </w:r>
    </w:p>
    <w:p>
      <w:pPr>
        <w:spacing w:after="140" w:line="320"/>
      </w:pPr>
      <w:r>
        <w:rPr>
          <w:rFonts w:ascii="Arial" w:cs="Arial" w:eastAsia="Arial" w:hAnsi="Arial"/>
          <w:color w:val="1E293B"/>
          <w:sz w:val="22"/>
          <w:szCs w:val="22"/>
        </w:rPr>
        <w:t xml:space="preserve">Dito Labs es una empresa chilena constituida en Santiago. Nuestros contratos y políticas están escritos bajo Ley 19.628, y entendemos las particularidades del sistema de salud chileno (isapres, fonasa, cobros, cuentas clínicas).</w:t>
      </w:r>
    </w:p>
    <w:p>
      <w:pPr>
        <w:pStyle w:val="Heading3"/>
        <w:spacing w:after="100" w:before="200"/>
      </w:pPr>
      <w:r>
        <w:rPr>
          <w:rFonts w:ascii="Arial" w:cs="Arial" w:eastAsia="Arial" w:hAnsi="Arial"/>
          <w:b/>
          <w:bCs/>
          <w:color w:val="0891B2"/>
          <w:sz w:val="22"/>
          <w:szCs w:val="22"/>
        </w:rPr>
        <w:t xml:space="preserve">Tecnología correcta para el problema</w:t>
      </w:r>
    </w:p>
    <w:p>
      <w:pPr>
        <w:spacing w:after="140" w:line="320"/>
      </w:pPr>
      <w:r>
        <w:rPr>
          <w:rFonts w:ascii="Arial" w:cs="Arial" w:eastAsia="Arial" w:hAnsi="Arial"/>
          <w:color w:val="1E293B"/>
          <w:sz w:val="22"/>
          <w:szCs w:val="22"/>
        </w:rPr>
        <w:t xml:space="preserve">Cargos paciente es una PWA: no requiere instalar aplicaciones desde tiendas, funciona offline, y se actualiza sola. El backend recomendado (Supabase) es la misma tecnología que usan miles de empresas de salud digital en el mundo, con opción real de migración a infraestructura interna cuando la institución lo requiera.</w:t>
      </w:r>
    </w:p>
    <w:p>
      <w:pPr>
        <w:pStyle w:val="Heading1"/>
        <w:spacing w:after="180" w:before="360"/>
      </w:pPr>
      <w:r>
        <w:rPr>
          <w:rFonts w:ascii="Arial" w:cs="Arial" w:eastAsia="Arial" w:hAnsi="Arial"/>
          <w:b/>
          <w:bCs/>
          <w:color w:val="1B4F8A"/>
          <w:sz w:val="36"/>
          <w:szCs w:val="36"/>
        </w:rPr>
        <w:t xml:space="preserve">7.  Próximos pasos</w:t>
      </w:r>
    </w:p>
    <w:p>
      <w:pPr>
        <w:spacing w:after="140" w:line="320"/>
      </w:pPr>
      <w:r>
        <w:rPr>
          <w:rFonts w:ascii="Arial" w:cs="Arial" w:eastAsia="Arial" w:hAnsi="Arial"/>
          <w:color w:val="1E293B"/>
          <w:sz w:val="22"/>
          <w:szCs w:val="22"/>
        </w:rPr>
        <w:t xml:space="preserve">Para avanzar hacia un piloto operativo:</w:t>
      </w:r>
    </w:p>
    <w:p>
      <w:pPr>
        <w:pStyle w:val="ListParagraph"/>
        <w:numPr>
          <w:ilvl w:val="0"/>
          <w:numId w:val="2"/>
        </w:numPr>
        <w:spacing w:after="80" w:line="300"/>
      </w:pPr>
      <w:r>
        <w:rPr>
          <w:rFonts w:ascii="Arial" w:cs="Arial" w:eastAsia="Arial" w:hAnsi="Arial"/>
          <w:color w:val="1E293B"/>
          <w:sz w:val="22"/>
          <w:szCs w:val="22"/>
        </w:rPr>
        <w:t xml:space="preserve">Reunión de definiciones con jefatura y personal administrativo (60 minutos) — a coordinar.</w:t>
      </w:r>
    </w:p>
    <w:p>
      <w:pPr>
        <w:pStyle w:val="ListParagraph"/>
        <w:numPr>
          <w:ilvl w:val="0"/>
          <w:numId w:val="2"/>
        </w:numPr>
        <w:spacing w:after="80" w:line="300"/>
      </w:pPr>
      <w:r>
        <w:rPr>
          <w:rFonts w:ascii="Arial" w:cs="Arial" w:eastAsia="Arial" w:hAnsi="Arial"/>
          <w:color w:val="1E293B"/>
          <w:sz w:val="22"/>
          <w:szCs w:val="22"/>
        </w:rPr>
        <w:t xml:space="preserve">Definir conjuntamente los KPI del piloto (volumen recuperado, tiempo del administrativo, satisfacción del personal).</w:t>
      </w:r>
    </w:p>
    <w:p>
      <w:pPr>
        <w:pStyle w:val="ListParagraph"/>
        <w:numPr>
          <w:ilvl w:val="0"/>
          <w:numId w:val="2"/>
        </w:numPr>
        <w:spacing w:after="80" w:line="300"/>
      </w:pPr>
      <w:r>
        <w:rPr>
          <w:rFonts w:ascii="Arial" w:cs="Arial" w:eastAsia="Arial" w:hAnsi="Arial"/>
          <w:color w:val="1E293B"/>
          <w:sz w:val="22"/>
          <w:szCs w:val="22"/>
        </w:rPr>
        <w:t xml:space="preserve">Firmar carta de intención con condiciones del piloto reducido.</w:t>
      </w:r>
    </w:p>
    <w:p>
      <w:pPr>
        <w:pStyle w:val="ListParagraph"/>
        <w:numPr>
          <w:ilvl w:val="0"/>
          <w:numId w:val="2"/>
        </w:numPr>
        <w:spacing w:after="80" w:line="300"/>
      </w:pPr>
      <w:r>
        <w:rPr>
          <w:rFonts w:ascii="Arial" w:cs="Arial" w:eastAsia="Arial" w:hAnsi="Arial"/>
          <w:color w:val="1E293B"/>
          <w:sz w:val="22"/>
          <w:szCs w:val="22"/>
        </w:rPr>
        <w:t xml:space="preserve">Iniciar Fase 1 (validación) en cuanto se acuerden alcance y catálogo.</w:t>
      </w:r>
    </w:p>
    <w:p>
      <w:pPr>
        <w:spacing w:after="200"/>
      </w:pPr>
    </w:p>
    <w:p>
      <w:pPr>
        <w:spacing w:after="140" w:line="320"/>
      </w:pPr>
      <w:r>
        <w:rPr>
          <w:rFonts w:ascii="Arial" w:cs="Arial" w:eastAsia="Arial" w:hAnsi="Arial"/>
          <w:color w:val="1E293B"/>
          <w:sz w:val="22"/>
          <w:szCs w:val="22"/>
        </w:rPr>
        <w:t xml:space="preserve">Esta cotización mantiene su vigencia por 30 días desde la fecha del documento.</w:t>
      </w:r>
    </w:p>
    <w:p>
      <w:pPr>
        <w:pBdr>
          <w:bottom w:val="single" w:color="1B4F8A" w:sz="6"/>
        </w:pBdr>
        <w:spacing w:after="240" w:before="120"/>
      </w:pPr>
    </w:p>
    <w:p>
      <w:pPr>
        <w:pStyle w:val="Heading2"/>
        <w:spacing w:after="120" w:before="280"/>
      </w:pPr>
      <w:r>
        <w:rPr>
          <w:rFonts w:ascii="Arial" w:cs="Arial" w:eastAsia="Arial" w:hAnsi="Arial"/>
          <w:b/>
          <w:bCs/>
          <w:color w:val="1E293B"/>
          <w:sz w:val="26"/>
          <w:szCs w:val="26"/>
        </w:rPr>
        <w:t xml:space="preserve">Anexos</w:t>
      </w:r>
    </w:p>
    <w:p>
      <w:pPr>
        <w:pStyle w:val="ListParagraph"/>
        <w:numPr>
          <w:ilvl w:val="0"/>
          <w:numId w:val="2"/>
        </w:numPr>
        <w:spacing w:after="80" w:line="300"/>
      </w:pPr>
      <w:r>
        <w:rPr>
          <w:rFonts w:ascii="Arial" w:cs="Arial" w:eastAsia="Arial" w:hAnsi="Arial"/>
          <w:color w:val="1E293B"/>
          <w:sz w:val="22"/>
          <w:szCs w:val="22"/>
        </w:rPr>
        <w:t xml:space="preserve">Prototipo funcional en línea: https://dtug21.github.io/cargos-paciente/</w:t>
      </w:r>
    </w:p>
    <w:p>
      <w:pPr>
        <w:pStyle w:val="ListParagraph"/>
        <w:numPr>
          <w:ilvl w:val="0"/>
          <w:numId w:val="2"/>
        </w:numPr>
        <w:spacing w:after="80" w:line="300"/>
      </w:pPr>
      <w:r>
        <w:rPr>
          <w:rFonts w:ascii="Arial" w:cs="Arial" w:eastAsia="Arial" w:hAnsi="Arial"/>
          <w:color w:val="1E293B"/>
          <w:sz w:val="22"/>
          <w:szCs w:val="22"/>
        </w:rPr>
        <w:t xml:space="preserve">Repositorio del código fuente: https://github.com/Dtug21/cargos-paciente</w:t>
      </w:r>
    </w:p>
    <w:p>
      <w:pPr>
        <w:pStyle w:val="ListParagraph"/>
        <w:numPr>
          <w:ilvl w:val="0"/>
          <w:numId w:val="2"/>
        </w:numPr>
        <w:spacing w:after="80" w:line="300"/>
      </w:pPr>
      <w:r>
        <w:rPr>
          <w:rFonts w:ascii="Arial" w:cs="Arial" w:eastAsia="Arial" w:hAnsi="Arial"/>
          <w:color w:val="1E293B"/>
          <w:sz w:val="22"/>
          <w:szCs w:val="22"/>
        </w:rPr>
        <w:t xml:space="preserve">PIN de acceso a perfil administrativo para la demo: 0000</w:t>
      </w:r>
    </w:p>
    <w:p>
      <w:pPr>
        <w:spacing w:after="400"/>
      </w:pPr>
    </w:p>
    <w:p>
      <w:pPr>
        <w:spacing w:after="40"/>
      </w:pPr>
      <w:r>
        <w:rPr>
          <w:rFonts w:ascii="Arial" w:cs="Arial" w:eastAsia="Arial" w:hAnsi="Arial"/>
          <w:b/>
          <w:bCs/>
          <w:color w:val="1E293B"/>
          <w:sz w:val="22"/>
          <w:szCs w:val="22"/>
        </w:rPr>
        <w:t xml:space="preserve">Diego Tomás Ulloa González</w:t>
      </w:r>
    </w:p>
    <w:p>
      <w:pPr>
        <w:spacing w:after="40"/>
      </w:pPr>
      <w:r>
        <w:rPr>
          <w:rFonts w:ascii="Arial" w:cs="Arial" w:eastAsia="Arial" w:hAnsi="Arial"/>
          <w:color w:val="475569"/>
          <w:sz w:val="20"/>
          <w:szCs w:val="20"/>
        </w:rPr>
        <w:t xml:space="preserve">Gerente General — Dito Labs SpA</w:t>
      </w:r>
    </w:p>
    <w:p>
      <w:pPr>
        <w:spacing w:after="40"/>
      </w:pPr>
      <w:r>
        <w:rPr>
          <w:rFonts w:ascii="Arial" w:cs="Arial" w:eastAsia="Arial" w:hAnsi="Arial"/>
          <w:color w:val="475569"/>
          <w:sz w:val="20"/>
          <w:szCs w:val="20"/>
        </w:rPr>
        <w:t xml:space="preserve">diegoulloa.g13@gmail.com  ·  Santiago, Chile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60"/>
    </w:pPr>
    <w:r>
      <w:rPr>
        <w:rFonts w:ascii="Arial" w:cs="Arial" w:eastAsia="Arial" w:hAnsi="Arial"/>
        <w:color w:val="94A3B8"/>
        <w:sz w:val="16"/>
        <w:szCs w:val="16"/>
      </w:rPr>
      <w:t xml:space="preserve">Confidencial — Dito Labs SpA — RUT 78.424.665-5</w:t>
    </w:r>
    <w:r>
      <w:ptab w:alignment="right" w:relativeTo="margin" w:leader="none"/>
    </w:r>
    <w:r>
      <w:rPr>
        <w:rFonts w:ascii="Arial" w:cs="Arial" w:eastAsia="Arial" w:hAnsi="Arial"/>
        <w:color w:val="94A3B8"/>
        <w:sz w:val="16"/>
        <w:szCs w:val="16"/>
      </w:rPr>
      <w:t xml:space="preserve">Página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pBdr>
      <w:tabs>
        <w:tab w:val="right" w:pos="9360"/>
      </w:tabs>
      <w:spacing w:after="60"/>
    </w:pPr>
    <w:r>
      <w:rPr>
        <w:rFonts w:ascii="Arial" w:cs="Arial" w:eastAsia="Arial" w:hAnsi="Arial"/>
        <w:b/>
        <w:bCs/>
        <w:color w:val="1B4F8A"/>
        <w:sz w:val="18"/>
        <w:szCs w:val="18"/>
      </w:rPr>
      <w:t xml:space="preserve">DITO LABS SpA</w:t>
    </w:r>
    <w:r>
      <w:rPr>
        <w:rFonts w:ascii="Arial" w:cs="Arial" w:eastAsia="Arial" w:hAnsi="Arial"/>
        <w:color w:val="475569"/>
        <w:sz w:val="18"/>
        <w:szCs w:val="18"/>
      </w:rPr>
      <w:t xml:space="preserve">   ·   Propuesta comercial — Cargos paciente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 Cargos paciente</dc:title>
  <dc:creator>Dito Labs SpA</dc:creator>
  <dc:description>Propuesta comercial para servicios clínicos</dc:description>
  <cp:lastModifiedBy>Un-named</cp:lastModifiedBy>
  <cp:revision>1</cp:revision>
  <dcterms:created xsi:type="dcterms:W3CDTF">2026-07-30T03:03:41.203Z</dcterms:created>
  <dcterms:modified xsi:type="dcterms:W3CDTF">2026-07-30T03:03:41.203Z</dcterms:modified>
</cp:coreProperties>
</file>

<file path=docProps/custom.xml><?xml version="1.0" encoding="utf-8"?>
<Properties xmlns="http://schemas.openxmlformats.org/officeDocument/2006/custom-properties" xmlns:vt="http://schemas.openxmlformats.org/officeDocument/2006/docPropsVTypes"/>
</file>