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rial" w:hAnsi="Arial" w:eastAsia="黑体"/>
          <w:b/>
          <w:sz w:val="40"/>
        </w:rPr>
        <w:t>基于异构聚类共识拒识的植物病害图像</w:t>
        <w:br/>
        <w:t>传导式选择性无监督聚类</w:t>
      </w:r>
    </w:p>
    <w:p>
      <w:pPr>
        <w:jc w:val="center"/>
      </w:pPr>
      <w:r>
        <w:rPr>
          <w:rFonts w:ascii="Times New Roman" w:hAnsi="Times New Roman" w:eastAsia="宋体"/>
          <w:b/>
          <w:sz w:val="24"/>
        </w:rPr>
        <w:t>Transductive Selective Unsupervised Clustering of Plant Disease Images</w:t>
        <w:br/>
        <w:t>via Heterogeneous Clustering Consensus and Rejection</w:t>
      </w:r>
    </w:p>
    <w:p>
      <w:pPr>
        <w:ind w:firstLine="0"/>
        <w:jc w:val="center"/>
      </w:pPr>
      <w:r>
        <w:rPr>
          <w:rFonts w:ascii="Times New Roman" w:hAnsi="Times New Roman" w:eastAsia="宋体"/>
          <w:color w:val="C00000"/>
          <w:sz w:val="21"/>
        </w:rPr>
        <w:t>作者：【待补充】</w:t>
      </w:r>
    </w:p>
    <w:p>
      <w:pPr>
        <w:ind w:firstLine="0"/>
        <w:jc w:val="center"/>
      </w:pPr>
      <w:r>
        <w:rPr>
          <w:rFonts w:ascii="Times New Roman" w:hAnsi="Times New Roman" w:eastAsia="宋体"/>
          <w:color w:val="C00000"/>
          <w:sz w:val="21"/>
        </w:rPr>
        <w:t>单位：【待补充】</w:t>
      </w:r>
    </w:p>
    <w:p>
      <w:pPr>
        <w:ind w:firstLine="0"/>
        <w:jc w:val="center"/>
      </w:pPr>
      <w:r>
        <w:rPr>
          <w:rFonts w:ascii="Times New Roman" w:hAnsi="Times New Roman" w:eastAsia="宋体"/>
          <w:color w:val="C00000"/>
          <w:sz w:val="21"/>
        </w:rPr>
        <w:t>通信作者：【待补充】</w:t>
      </w:r>
    </w:p>
    <w:p>
      <w:pPr>
        <w:ind w:firstLine="0"/>
        <w:jc w:val="center"/>
      </w:pPr>
      <w:r>
        <w:rPr>
          <w:rFonts w:ascii="Times New Roman" w:hAnsi="Times New Roman" w:eastAsia="宋体"/>
          <w:sz w:val="21"/>
        </w:rPr>
        <w:t>拟投期刊：Artificial Intelligence in Agriculture</w:t>
      </w:r>
    </w:p>
    <w:p>
      <w:pPr>
        <w:ind w:firstLine="0"/>
        <w:jc w:val="center"/>
      </w:pPr>
      <w:r>
        <w:rPr>
          <w:rFonts w:ascii="Times New Roman" w:hAnsi="Times New Roman" w:eastAsia="宋体"/>
          <w:sz w:val="21"/>
        </w:rPr>
        <w:t>稿件类型：Original Research Article</w:t>
      </w:r>
    </w:p>
    <w:p>
      <w:pPr>
        <w:ind w:firstLine="0"/>
        <w:jc w:val="center"/>
      </w:pPr>
      <w:r>
        <w:t>版本：中文完善稿 V10.0（完整引文、正规术语、独立PDF/TIFF投稿图件、数据许可与预训练权重可追溯性确认版）</w:t>
      </w:r>
    </w:p>
    <w:p>
      <w:pPr>
        <w:ind w:firstLine="0"/>
        <w:jc w:val="center"/>
      </w:pPr>
      <w:r>
        <w:rPr>
          <w:rFonts w:ascii="Times New Roman" w:hAnsi="Times New Roman" w:eastAsia="宋体"/>
          <w:sz w:val="21"/>
        </w:rPr>
        <w:t>日期：2026年7月</w:t>
      </w:r>
    </w:p>
    <w:p>
      <w:r>
        <w:br w:type="page"/>
      </w:r>
    </w:p>
    <w:p>
      <w:pPr>
        <w:pStyle w:val="Heading1"/>
        <w:keepNext/>
      </w:pPr>
      <w:r>
        <w:rPr>
          <w:rFonts w:ascii="Arial" w:hAnsi="Arial" w:eastAsia="黑体"/>
          <w:b/>
          <w:sz w:val="32"/>
        </w:rPr>
        <w:t>稿件说明</w:t>
      </w:r>
    </w:p>
    <w:p>
      <w:pPr>
        <w:pStyle w:val="BodyText"/>
        <w:jc w:val="both"/>
      </w:pPr>
      <w:r>
        <w:t>本稿已从摘要、引言、相关工作、材料与方法、结果、讨论、结论、图表、正文引文、参考文献和声明等部分统一更新。全文采用“传导式选择性无监督聚类评价”口径：真实标签不参与视觉特征提取、降维、聚类、簇编号对齐和拒识，只在全部无监督结果固定后用于多对一事后类别对齐与外部评价。正文与参考文献按照Artificial Intelligence in Agriculture的作者—年份体例组织，不使用方括号数字编号。本版全部投稿图件均取消图内完整标题，并由实验CSV或方法定义通过Python/Matplotlib重新生成；每幅图均单独提供矢量PDF和高分辨率TIFF文件。本版进一步完成DFLD-BR-4原始数据许可核查和ConvNeXt预训练权重可追溯性核查。</w:t>
      </w:r>
    </w:p>
    <w:p>
      <w:pPr>
        <w:pStyle w:val="BodyText"/>
        <w:jc w:val="both"/>
      </w:pPr>
      <w:r>
        <w:rPr>
          <w:rFonts w:ascii="Times New Roman" w:hAnsi="Times New Roman" w:eastAsia="宋体"/>
          <w:i w:val="0"/>
          <w:sz w:val="21"/>
        </w:rPr>
        <w:t>结果表中的“保留样本事后对齐聚类准确率（Acc_kept）”不能解释为独立测试集分类准确率。另一指标“保守全样本准确率”按 correct_kept/N = Acc_kept × Coverage 计算，将拒识样本计入全样本分母，但并不表示拒识样本实际均被错误分类。</w:t>
      </w:r>
    </w:p>
    <w:p>
      <w:pPr>
        <w:pStyle w:val="BodyText"/>
        <w:jc w:val="both"/>
      </w:pPr>
      <w:r>
        <w:t>红色内容为投稿前仍需补充的信息，主要包括作者信息、基金、CRediT作者贡献和代码公开地址等。DFLD-BR-4的原始数据页面、DOI与CC BY 4.0许可条款，以及ConvNeXt权重的公开仓库、ImageNet-22K预训练设置、Apache-2.0仓库许可和SHA256一致性均已核实。全部科研图件均由实验数据、统计结果或明确的方法定义通过Python/Matplotlib绘制；未使用生成式人工智能创建、修改、增强或补绘投稿图像。</w:t>
      </w:r>
    </w:p>
    <w:p>
      <w:pPr>
        <w:pStyle w:val="Heading1"/>
        <w:keepNext/>
      </w:pPr>
      <w:r>
        <w:rPr>
          <w:rFonts w:ascii="Arial" w:hAnsi="Arial" w:eastAsia="黑体"/>
          <w:b/>
          <w:sz w:val="32"/>
        </w:rPr>
        <w:t>摘要</w:t>
      </w:r>
    </w:p>
    <w:p>
      <w:pPr>
        <w:pStyle w:val="BodyText"/>
        <w:ind w:firstLine="0"/>
        <w:jc w:val="both"/>
      </w:pPr>
      <w:r>
        <w:t>监督深度学习在受控叶片图像上已获得接近饱和的植物病害分类性能，但通常依赖任务特定标签，并对所有输入强制输出类别。针对无标签图像组织、高置信伪标签候选筛选及高风险样本拒识需求，本文提出一种基于冻结视觉特征、异构聚类对齐和共识拒识的传导式选择性无监督聚类框架。主流程使用经SHA256核验的公开ImageNet-22K监督预训练ConvNeXt-XLarge权重提取2048维特征，经UMAP降至100维后分别执行KMeans、Birch和Agglomerative聚类；以KMeans为参考，通过样本重叠矩阵和Hungarian算法完成无标签簇编号对齐。三个对齐簇编号完全一致的样本由三算法严格共识（C3）规则保留，其余样本被拒识。聚类与拒识结果固定后，真实标签仅用于多对一事后类别对齐与外部评价。本文将PlantVillage拆分为水果病害和蔬菜病害子集，以检验同一数据来源内的跨作物群组稳定性；进一步引入独立来源的完整11类和预先整理9类多作物病害数据，以及一个去背景作物种类辅助集。统一采用UMAP 100维、K=20和5个随机种子时，PV-Fruit、PV-Vegetable和MCLD-9的Acc_kept分别为99.95%±0.00%、97.85%±2.10%和90.72%±1.48%，对应覆盖率为78.70%±4.58%、89.99%±4.34%和90.61%±5.05%。在PV-Vegetable和MCLD-9上，C3相对于同覆盖率随机拒识的Acc_kept分别提高1.66和2.88个百分点；在MCLD-9上相对于KMeans距离拒识提高1.47个百分点。为检验框架是否依赖特定公开预训练视觉表征，本文进一步采用公开自监督DINOv2特征。相同DINOv2+UMAP表示下，C3相对于KMeans在PV-Vegetable、MCLD-11和MCLD-9上的Acc_kept分别提高6.73、2.58和3.45个百分点，ARI_kept和NMI_kept的配对Bootstrap置信区间同样未跨0，但覆盖率分别下降17.59、18.79和19.53个百分点。PV-Fruit存在天花板效应，C3未提高Acc_kept，却显著改善保留子集的ARI和NMI。综合结果表明，所提多算法共识框架能够在复杂植物病害数据中稳定筛选高可信样本，并在ConvNeXt与DINOv2两种视觉表征设置下保持一致的质量提升趋势，显示出较好的跨作物、跨数据集和跨视觉表征适用性。严格共识带来的覆盖率下降体现了保留样本质量与覆盖范围之间的可调节权衡。</w:t>
      </w:r>
    </w:p>
    <w:p>
      <w:pPr>
        <w:ind w:firstLine="0"/>
      </w:pPr>
      <w:r>
        <w:rPr>
          <w:rFonts w:ascii="Times New Roman" w:hAnsi="Times New Roman" w:eastAsia="宋体"/>
          <w:b/>
          <w:sz w:val="21"/>
        </w:rPr>
        <w:t>关键词：</w:t>
      </w:r>
      <w:r>
        <w:rPr>
          <w:rFonts w:ascii="Times New Roman" w:hAnsi="Times New Roman" w:eastAsia="宋体"/>
          <w:sz w:val="21"/>
        </w:rPr>
        <w:t>植物病害；无监督聚类；选择性聚类；共识拒识；DINOv2；UMAP；风险—覆盖率；事后类别对齐</w:t>
      </w:r>
    </w:p>
    <w:p>
      <w:pPr>
        <w:pStyle w:val="BodyText"/>
        <w:ind w:firstLine="0"/>
        <w:jc w:val="both"/>
      </w:pPr>
      <w:r>
        <w:rPr>
          <w:rFonts w:ascii="Times New Roman" w:hAnsi="Times New Roman" w:eastAsia="宋体"/>
          <w:b/>
          <w:sz w:val="21"/>
        </w:rPr>
        <w:t>缩略语：</w:t>
      </w:r>
      <w:r>
        <w:rPr>
          <w:rFonts w:ascii="Times New Roman" w:hAnsi="Times New Roman" w:eastAsia="宋体"/>
          <w:sz w:val="21"/>
        </w:rPr>
        <w:t>ARI，调整兰德指数；NMI，归一化互信息；AMI，调整互信息；UMAP，统一流形逼近与投影；PCA，主成分分析。</w:t>
      </w:r>
    </w:p>
    <w:p>
      <w:pPr>
        <w:pStyle w:val="Heading1"/>
        <w:keepNext/>
      </w:pPr>
      <w:r>
        <w:rPr>
          <w:rFonts w:ascii="Arial" w:hAnsi="Arial" w:eastAsia="黑体"/>
          <w:b/>
          <w:sz w:val="32"/>
        </w:rPr>
        <w:t>1 引言</w:t>
      </w:r>
    </w:p>
    <w:p>
      <w:pPr>
        <w:pStyle w:val="BodyText"/>
        <w:jc w:val="both"/>
      </w:pPr>
      <w:r>
        <w:rPr>
          <w:rFonts w:ascii="Arial" w:hAnsi="Arial" w:eastAsia="宋体"/>
        </w:rPr>
        <w:t>植物病原物和害虫对全球主要粮食作物造成持续产量损失，准确识别病害是精准植保与可持续农业的重要基础（Savary et al., 2019）。传统人工诊断依赖专业经验，在大规模图像筛查、跨区域数据整理和快速质量控制中面临成本、效率与一致性限制。深度学习已广泛用于农业图像分析，并在植物病害识别中表现出较强的表征能力（Kamilaris and Prenafeta-Boldú, 2018; Ferentinos, 2018; Too et al., 2019）。随着卷积网络、视觉Transformer和自监督视觉基础模型的发展，叶片图像分析逐渐由任务特定监督分类拓展到无标签表示学习、图像组织和低标注成本的数据治理。</w:t>
      </w:r>
    </w:p>
    <w:p>
      <w:pPr>
        <w:pStyle w:val="BodyText"/>
        <w:jc w:val="both"/>
      </w:pPr>
      <w:r>
        <w:rPr>
          <w:rFonts w:ascii="Arial" w:hAnsi="Arial" w:eastAsia="宋体"/>
        </w:rPr>
        <w:t>现有植物病害识别研究以监督分类为主。Mohanty et al. (2016)在PlantVillage同源留出测试集上报告99.35%的准确率，但在不同采集条件的外部网络图像上仅为31.4%，揭示了受控数据性能与跨域应用之间的差距。此后，基于PlantVillage的多种卷积模型和迁移学习模型同样获得很高的同源准确率（Ferentinos, 2018; Too et al., 2019），但数据规模、类别多样性、背景规律和采集条件会显著影响模型的实际有效性（Barbedo, 2018a, 2018b）。田间木薯图像、PlantDoc自然背景图像和苹果病害挑战数据进一步表明，自然光照、遮挡、症状尺度及背景变化会明显增加识别难度（Ramcharan et al., 2017; Singh et al., 2020; Thapa et al., 2020）。近期CNN–Transformer混合模型、轻量Mob-Res和ConvGeM-NeXt继续在PlantVillage等数据集上报告99%以上的监督分类准确率（Chen et al., 2024; Pal et al., 2025; Arshad et al., 2026），但这些结果仍不能自动回答无标签数据组织、未知质量样本筛选以及拒识决策问题。</w:t>
      </w:r>
    </w:p>
    <w:p>
      <w:pPr>
        <w:pStyle w:val="BodyText"/>
        <w:jc w:val="both"/>
      </w:pPr>
      <w:r>
        <w:rPr>
          <w:rFonts w:ascii="Arial" w:hAnsi="Arial" w:eastAsia="宋体"/>
        </w:rPr>
        <w:t>在真实数据整理过程中，图像可能同时受到病斑相似、症状阶段差异、光照变化、遮挡、模糊和背景干扰影响。若在缺少可靠标签时强制为全部样本分配类别，错误样本会直接进入伪标签集或后续训练流程。选择性分类理论允许系统在不确定样本上拒绝输出，以降低已接受样本的风险，并以覆盖率衡量自动处理范围（Chow, 1970; El-Yaniv and Wiener, 2010; Geifman and El-Yaniv, 2017, 2019）。本文将这一思想扩展到传导式无监督聚类：系统只接受跨异构聚类器划分稳定的样本，并将分配不一致的样本标记为拒识，从而显式呈现保留样本质量与覆盖范围之间的权衡。</w:t>
      </w:r>
    </w:p>
    <w:p>
      <w:pPr>
        <w:pStyle w:val="BodyText"/>
        <w:jc w:val="both"/>
      </w:pPr>
      <w:r>
        <w:rPr>
          <w:rFonts w:ascii="Arial" w:hAnsi="Arial" w:eastAsia="宋体"/>
        </w:rPr>
        <w:t>无监督聚类的簇编号不具有天然病害语义，且不同算法的编号可以任意置换。共识聚类研究表明，融合多种划分可降低单一算法结构偏好的影响，但在合并前必须解决簇标签置换和分辨率差异（Strehl and Ghosh, 2002; Fred and Jain, 2005）。真实标签可以在聚类完成后用于外部评价，却不应参与特征学习、聚类、对齐和拒识。另一方面，算法间一致只代表划分结构稳定，并不必然等同于病害语义正确。因此，选择性无监督聚类需要联合报告Acc_kept、覆盖率、保守全样本准确率以及ARI、NMI和AMI等外部聚类指标（Hubert and Arabie, 1985; Vinh et al., 2010），并与随机拒识和距离拒识进行同覆盖率比较。</w:t>
      </w:r>
    </w:p>
    <w:p>
      <w:pPr>
        <w:pStyle w:val="BodyText"/>
        <w:jc w:val="both"/>
      </w:pPr>
      <w:r>
        <w:rPr>
          <w:rFonts w:ascii="Times New Roman" w:hAnsi="Times New Roman" w:eastAsia="宋体"/>
          <w:i w:val="0"/>
          <w:sz w:val="21"/>
        </w:rPr>
        <w:t>本文提出一种基于冻结视觉表征、UMAP、KMeans/Birch/Agglomerative异构聚类、Hungarian簇对齐和共识拒识的传导式选择性无监督聚类方法。主要贡献如下：</w:t>
      </w:r>
    </w:p>
    <w:p>
      <w:pPr>
        <w:pStyle w:val="BodyText"/>
        <w:ind w:firstLine="0"/>
        <w:jc w:val="both"/>
      </w:pPr>
      <w:r>
        <w:rPr>
          <w:rFonts w:ascii="Times New Roman" w:hAnsi="Times New Roman" w:eastAsia="宋体"/>
          <w:i w:val="0"/>
          <w:sz w:val="21"/>
        </w:rPr>
        <w:t>（1）建立严格的传导式无监督评价协议，明确真实标签仅用于全部无监督结果固定后的多对一外部评价，避免将事后对齐聚类准确率误写为独立诊断准确率。</w:t>
      </w:r>
    </w:p>
    <w:p>
      <w:pPr>
        <w:pStyle w:val="BodyText"/>
        <w:ind w:firstLine="0"/>
        <w:jc w:val="both"/>
      </w:pPr>
      <w:r>
        <w:rPr>
          <w:rFonts w:ascii="Times New Roman" w:hAnsi="Times New Roman" w:eastAsia="宋体"/>
          <w:i w:val="0"/>
          <w:sz w:val="21"/>
        </w:rPr>
        <w:t>（2）提出基于样本重叠矩阵和Hungarian匹配的跨算法簇编号对齐方法，并构造二取三多数共识（C2）与三算法严格共识（C3）两种操作模式。</w:t>
      </w:r>
    </w:p>
    <w:p>
      <w:pPr>
        <w:pStyle w:val="BodyText"/>
        <w:ind w:firstLine="0"/>
        <w:jc w:val="both"/>
      </w:pPr>
      <w:r>
        <w:rPr>
          <w:rFonts w:ascii="Times New Roman" w:hAnsi="Times New Roman" w:eastAsia="宋体"/>
          <w:i w:val="0"/>
          <w:sz w:val="21"/>
        </w:rPr>
        <w:t>（3）建立KMeans距离拒识和同Coverage随机拒识基线，结合风险—覆盖率操作点、5种子类别级分析与配对Bootstrap，量化共识拒识的收益与代价。</w:t>
      </w:r>
    </w:p>
    <w:p>
      <w:pPr>
        <w:pStyle w:val="BodyText"/>
        <w:ind w:firstLine="0"/>
        <w:jc w:val="both"/>
      </w:pPr>
      <w:r>
        <w:rPr>
          <w:rFonts w:ascii="Times New Roman" w:hAnsi="Times New Roman" w:eastAsia="宋体"/>
          <w:i w:val="0"/>
          <w:sz w:val="21"/>
        </w:rPr>
        <w:t>（4）采用PlantVillage水果/蔬菜子集、独立多作物病害数据及辅助作物种类数据构建递进式验证，并同时报告完整11类M数据和预先整理9类子集。</w:t>
      </w:r>
    </w:p>
    <w:p>
      <w:pPr>
        <w:pStyle w:val="BodyText"/>
        <w:ind w:firstLine="0"/>
        <w:jc w:val="both"/>
      </w:pPr>
      <w:r>
        <w:t>（5）引入公开自监督DINOv2作为外部无监督基线，在相同骨干内部比较KMeans、C2与C3，证明共识拒识对保留样本质量的改善并非只出现在单一ConvNeXt公开预训练表征设置下。</w:t>
      </w:r>
    </w:p>
    <w:p>
      <w:pPr>
        <w:pStyle w:val="Heading1"/>
        <w:keepNext/>
      </w:pPr>
      <w:r>
        <w:rPr>
          <w:rFonts w:ascii="Arial" w:hAnsi="Arial" w:eastAsia="黑体"/>
          <w:b/>
          <w:sz w:val="32"/>
        </w:rPr>
        <w:t>2 相关工作</w:t>
      </w:r>
    </w:p>
    <w:p>
      <w:pPr>
        <w:pStyle w:val="Heading2"/>
        <w:keepNext/>
      </w:pPr>
      <w:r>
        <w:rPr>
          <w:rFonts w:ascii="Arial" w:hAnsi="Arial" w:eastAsia="黑体"/>
          <w:b/>
          <w:sz w:val="26"/>
        </w:rPr>
        <w:t>2.1 监督植物病害识别</w:t>
      </w:r>
    </w:p>
    <w:p>
      <w:pPr>
        <w:pStyle w:val="BodyText"/>
        <w:jc w:val="both"/>
      </w:pPr>
      <w:r>
        <w:rPr>
          <w:rFonts w:ascii="Arial" w:hAnsi="Arial" w:eastAsia="宋体"/>
        </w:rPr>
        <w:t>监督植物病害识别已从经典卷积网络发展到迁移学习、轻量网络、混合Transformer架构与可解释模型。早期研究已证明深层卷积特征能够在大规模叶片图像上获得较高识别率（Mohanty et al., 2016; Ferentinos, 2018），不同预训练架构和微调策略的比较进一步推动了模型选择研究（Too et al., 2019）。与此同时，Barbedo (2018a, 2018b)指出，数据规模、类别内多样性、背景规律和症状呈现方式会显著影响结论的真实性。自然场景研究则从田间木薯图像、PlantDoc及苹果病害挑战数据出发，强调复杂背景和成像条件的重要性（Ramcharan et al., 2017; Singh et al., 2020; Thapa et al., 2020）。近期Chen et al. (2024)融合CNN与Transformer以同时提取局部和全局特征；Pal et al. (2025)提出参数量较小的Mob-Res并结合Grad-CAM、Grad-CAM++与LIME解释预测；Arshad et al. (2026)通过ConvNeXt与可学习GeM池化改进多数据集病害识别。然而，监督模型通常需要类别标签，并在推理时对全部输入强制给出类别，不能直接替代本文的无标签聚类与选择性拒识任务。PlantVillage相关偏差分析和植物病害数据集综述也提醒研究者，应区分受控同源评价、自然场景评价和跨域适用性（Noyan, 2022; Xu et al., 2024）。</w:t>
      </w:r>
    </w:p>
    <w:p>
      <w:pPr>
        <w:pStyle w:val="Heading2"/>
        <w:keepNext/>
      </w:pPr>
      <w:r>
        <w:rPr>
          <w:rFonts w:ascii="Arial" w:hAnsi="Arial" w:eastAsia="黑体"/>
          <w:b/>
          <w:sz w:val="26"/>
        </w:rPr>
        <w:t>2.2 无监督与自监督图像聚类</w:t>
      </w:r>
    </w:p>
    <w:p>
      <w:pPr>
        <w:pStyle w:val="BodyText"/>
        <w:jc w:val="both"/>
      </w:pPr>
      <w:r>
        <w:rPr>
          <w:rFonts w:ascii="Arial" w:hAnsi="Arial" w:eastAsia="宋体"/>
        </w:rPr>
        <w:t>无监督视觉学习可分为表示学习和聚类学习两个相互关联的方向。DeepCluster通过交替执行KMeans和伪标签网络更新实现端到端无监督特征学习（Caron et al., 2018）。随后，SimCLR和MoCo分别通过对比学习与动量字典学习可迁移视觉特征（Chen et al., 2020; He et al., 2020），DINO则利用无标签自蒸馏在视觉Transformer中形成具有语义结构的特征（Caron et al., 2021）。在深度图像聚类方面，SCAN将自监督表征学习与邻域一致性聚类解耦（Van Gansbeke et al., 2020），SPICE进一步利用语义伪标签训练特征模型和聚类头（Niu et al., 2022）。在植物病害领域，Fang et al. (2021)提出Chaotic-to-Fine clustering处理未标注病害图像。与这些需要重新训练表示或聚类头的方法不同，本文固定外部视觉特征，将研究重点放在异构聚类对齐、共识筛选、拒识基线和评价口径上。</w:t>
      </w:r>
    </w:p>
    <w:p>
      <w:pPr>
        <w:pStyle w:val="BodyText"/>
        <w:jc w:val="both"/>
      </w:pPr>
      <w:r>
        <w:rPr>
          <w:rFonts w:ascii="Arial" w:hAnsi="Arial" w:eastAsia="宋体"/>
        </w:rPr>
        <w:t>DINOv2在DINO自蒸馏路线基础上，通过大规模自监督训练获得无需任务标签即可迁移到多种视觉任务的通用特征（Caron et al., 2021; Oquab et al., 2023）。本文使用公开DINOv2权重构建外部无监督基线，并在相同DINOv2特征内部比较单聚类、C2和C3，以区分“外部特征表征能力”与“共识拒识机制”本身的贡献。</w:t>
      </w:r>
    </w:p>
    <w:p>
      <w:pPr>
        <w:pStyle w:val="Heading2"/>
        <w:keepNext/>
      </w:pPr>
      <w:r>
        <w:rPr>
          <w:rFonts w:ascii="Arial" w:hAnsi="Arial" w:eastAsia="黑体"/>
          <w:b/>
          <w:sz w:val="26"/>
        </w:rPr>
        <w:t>2.3 共识聚类与选择性拒识</w:t>
      </w:r>
    </w:p>
    <w:p>
      <w:pPr>
        <w:pStyle w:val="BodyText"/>
        <w:jc w:val="both"/>
      </w:pPr>
      <w:r>
        <w:rPr>
          <w:rFonts w:ascii="Arial" w:hAnsi="Arial" w:eastAsia="宋体"/>
        </w:rPr>
        <w:t>共识聚类通过融合不同划分缓解单一算法的结构偏好，是聚类集成研究的核心问题（Strehl and Ghosh, 2002; Fred and Jain, 2005）。由于聚类标签编号具有置换不变性，直接投票前必须先完成簇编号对齐；本文采用Hungarian分配最大化样本重叠（Kuhn, 1955）。拒识决策的理论核心是允许系统在不确定样本上不作判断，以交换更低的已接受样本风险（Chow, 1970; El-Yaniv and Wiener, 2010）。深度选择性分类研究进一步发展了风险—覆盖率控制和端到端拒识学习（Geifman and El-Yaniv, 2017, 2019）。不同于概率分类器的连续置信度，本文以异构聚类在同一样本上的对齐簇一致性作为离散置信信号，并设置C2与C3两个操作点。</w:t>
      </w:r>
    </w:p>
    <w:p>
      <w:pPr>
        <w:pStyle w:val="Heading2"/>
      </w:pPr>
      <w:r>
        <w:rPr>
          <w:rFonts w:ascii="Arial" w:hAnsi="Arial" w:eastAsia="宋体"/>
        </w:rPr>
        <w:t>2.4 研究空白与本文定位</w:t>
      </w:r>
    </w:p>
    <w:p>
      <w:pPr>
        <w:pStyle w:val="BodyText"/>
      </w:pPr>
      <w:r>
        <w:rPr>
          <w:rFonts w:ascii="Arial" w:hAnsi="Arial" w:eastAsia="宋体"/>
        </w:rPr>
        <w:t>现有文献分别在监督植物病害分类、自监督视觉表征、深度图像聚类、共识聚类和选择性预测方面形成了较成熟的方法体系，但这些方向之间仍存在三个缺口。第一，植物病害研究常以全覆盖分类准确率为主，较少讨论无标签数据中“只保留高置信样本”的质量—覆盖率权衡。第二，深度聚类研究通常关注最终划分质量，较少将异构聚类器之间的一致性直接用于样本级拒识。第三，选择性预测多建立在监督概率输出上，而无监督聚类缺少天然可校准的类别置信度。本文因此不追求新的端到端特征网络，而是提出一套可审计的传导式协议：冻结视觉表征、无标签簇对齐、C2/C3共识拒识、同覆盖率基线和多指标外部评价，并通过DINOv2验证机制的跨视觉表征稳定性。</w:t>
      </w:r>
    </w:p>
    <w:p>
      <w:pPr>
        <w:pStyle w:val="Heading1"/>
        <w:keepNext/>
      </w:pPr>
      <w:r>
        <w:rPr>
          <w:rFonts w:ascii="Arial" w:hAnsi="Arial" w:eastAsia="黑体"/>
          <w:b/>
          <w:sz w:val="32"/>
        </w:rPr>
        <w:t>3 材料与方法</w:t>
      </w:r>
    </w:p>
    <w:p>
      <w:pPr>
        <w:pStyle w:val="Heading2"/>
        <w:keepNext/>
      </w:pPr>
      <w:r>
        <w:rPr>
          <w:rFonts w:ascii="Arial" w:hAnsi="Arial" w:eastAsia="黑体"/>
          <w:b/>
          <w:sz w:val="26"/>
        </w:rPr>
        <w:t>3.1 研究任务与传导式评价协议</w:t>
      </w:r>
    </w:p>
    <w:p>
      <w:pPr>
        <w:pStyle w:val="BodyText"/>
        <w:jc w:val="both"/>
      </w:pPr>
      <w:r>
        <w:rPr>
          <w:rFonts w:ascii="Times New Roman" w:hAnsi="Times New Roman" w:eastAsia="宋体"/>
          <w:i w:val="0"/>
          <w:sz w:val="21"/>
        </w:rPr>
        <w:t>设无标签图像集合为 X={x₁,…,xₙ}，真实类别集合为 Y={y₁,…,yₙ}。全部图像在不读取Y的条件下共同参与特征空间构建、降维、聚类、簇编号对齐和拒识决策。方法输出保留集合S_kept与拒识集合S_rejected。只有在全部结果固定后，Y才用于多对一事后类别对齐和外部聚类评价。因此，本文评价的是同一批无标签图像中的结构发现与高置信子集筛选能力，而不是对未参与聚类的新图像进行归纳分类。</w:t>
      </w:r>
    </w:p>
    <w:p>
      <w:pPr>
        <w:pStyle w:val="Heading2"/>
        <w:keepNext/>
      </w:pPr>
      <w:r>
        <w:rPr>
          <w:rFonts w:ascii="Arial" w:hAnsi="Arial" w:eastAsia="黑体"/>
          <w:b/>
          <w:sz w:val="26"/>
        </w:rPr>
        <w:t>3.2 多数据集递进验证设计</w:t>
      </w:r>
    </w:p>
    <w:p>
      <w:pPr>
        <w:pStyle w:val="BodyText"/>
        <w:jc w:val="both"/>
      </w:pPr>
      <w:r>
        <w:rPr>
          <w:rFonts w:ascii="Arial" w:hAnsi="Arial" w:eastAsia="宋体"/>
        </w:rPr>
        <w:t>PlantVillage包含统一背景下的多作物健康与病害叶片图像（Hughes and Salathé, 2015; Mohanty et al., 2016）。本文据作物群组构建PlantVillage水果作物病害子集（PlantVillage-Fruit，PV-Fruit）和PlantVillage蔬菜作物病害子集（PlantVillage-Vegetable，PV-Vegetable），用于评价同一公开来源内的跨作物群组稳定性。鉴于受控背景和潜在数据规律可能导致过高的同源性能，本文不将这两个子集解释为自然田间跨域验证（Barbedo, 2018a; Noyan, 2022; Xu et al., 2024）。</w:t>
      </w:r>
    </w:p>
    <w:p>
      <w:pPr>
        <w:pStyle w:val="BodyText"/>
        <w:jc w:val="both"/>
      </w:pPr>
      <w:r>
        <w:t>为进一步考察独立数据来源和更复杂类别构成，本文引入Multi-Crop Leaf Disease Dataset，包括Cashew、Corn、Potato、Rice和Tomato等作物（Sifat and Hosen, 2025）。实验同时报告Multi-Crop Leaf Disease完整11类数据集（MCLD-11）和预先整理9类子集（MCLD-9）。最后，本文从Ahmed et al. (2024)发布的Plant Leaf Disease Recognition Dataset（Mendeley Data，Version 1，DOI: 10.17632/5g238dv4ht.1）中选取Background Removed部分的Gourd、Hibiscus、Papaya和Zucchini四类，构建DFLD-BR-4辅助集。原始四类共4,121幅图像，经SHA256完全重复检测删除391幅后保留3,730幅。原始数据页面标注为CC BY 4.0许可；DFLD-BR-4是本文为实验可追溯性设置的简称，并非官方独立数据集名称。与PlantDoc及Plant Pathology 2020等自然背景数据不同（Singh et al., 2020; Thapa et al., 2020），DFLD-BR-4标签是作物种类而非病害类别，因此仅用于辅助视觉聚类验证。</w:t>
      </w:r>
    </w:p>
    <w:p>
      <w:pPr>
        <w:pStyle w:val="Caption"/>
        <w:keepNext w:val="0"/>
        <w:jc w:val="center"/>
      </w:pPr>
      <w:r>
        <w:rPr>
          <w:rFonts w:ascii="Times New Roman" w:hAnsi="Times New Roman" w:eastAsia="宋体"/>
          <w:b w:val="0"/>
          <w:sz w:val="18"/>
        </w:rPr>
        <w:t>表1  论文简称、内部代码、公开数据来源及SHA256完全重复删除情况。</w:t>
      </w:r>
    </w:p>
    <w:tbl>
      <w:tblPr>
        <w:tblW w:type="auto" w:w="0"/>
        <w:jc w:val="center"/>
        <w:tblLayout w:type="fixed"/>
        <w:tblLook w:firstColumn="1" w:firstRow="1" w:lastColumn="0" w:lastRow="0" w:noHBand="0" w:noVBand="1" w:val="04A0"/>
      </w:tblPr>
      <w:tblGrid>
        <w:gridCol w:w="1328"/>
        <w:gridCol w:w="1328"/>
        <w:gridCol w:w="1328"/>
        <w:gridCol w:w="1328"/>
        <w:gridCol w:w="1328"/>
        <w:gridCol w:w="1328"/>
        <w:gridCol w:w="1328"/>
      </w:tblGrid>
      <w:tr>
        <w:trPr>
          <w:tblHeader w:val="true"/>
        </w:trPr>
        <w:tc>
          <w:tcPr>
            <w:tcW w:type="dxa" w:w="979"/>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论文简称</w:t>
            </w:r>
          </w:p>
        </w:tc>
        <w:tc>
          <w:tcPr>
            <w:tcW w:type="dxa" w:w="1037"/>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内部代码</w:t>
            </w:r>
          </w:p>
        </w:tc>
        <w:tc>
          <w:tcPr>
            <w:tcW w:type="dxa" w:w="1901"/>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原始公开数据来源</w:t>
            </w:r>
          </w:p>
        </w:tc>
        <w:tc>
          <w:tcPr>
            <w:tcW w:type="dxa" w:w="749"/>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类别数</w:t>
            </w:r>
          </w:p>
        </w:tc>
        <w:tc>
          <w:tcPr>
            <w:tcW w:type="dxa" w:w="1037"/>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最终样本数</w:t>
            </w:r>
          </w:p>
        </w:tc>
        <w:tc>
          <w:tcPr>
            <w:tcW w:type="dxa" w:w="2275"/>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实验定位</w:t>
            </w:r>
          </w:p>
        </w:tc>
        <w:tc>
          <w:tcPr>
            <w:tcW w:type="dxa" w:w="922"/>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SHA256删除数</w:t>
            </w:r>
          </w:p>
        </w:tc>
      </w:tr>
      <w:tr>
        <w:tc>
          <w:tcPr>
            <w:tcW w:type="dxa" w:w="97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PV-Fruit</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F_new</w:t>
            </w:r>
          </w:p>
        </w:tc>
        <w:tc>
          <w:tcPr>
            <w:tcW w:type="dxa" w:w="190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PlantVillage</w:t>
            </w:r>
          </w:p>
        </w:tc>
        <w:tc>
          <w:tcPr>
            <w:tcW w:type="dxa" w:w="74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9</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13,950</w:t>
            </w:r>
          </w:p>
        </w:tc>
        <w:tc>
          <w:tcPr>
            <w:tcW w:type="dxa" w:w="227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同源数据内跨水果作物病害验证</w:t>
            </w:r>
          </w:p>
        </w:tc>
        <w:tc>
          <w:tcPr>
            <w:tcW w:type="dxa" w:w="92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w:t>
            </w:r>
          </w:p>
        </w:tc>
      </w:tr>
      <w:tr>
        <w:tc>
          <w:tcPr>
            <w:tcW w:type="dxa" w:w="97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PV-Vegetable</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V_new</w:t>
            </w:r>
          </w:p>
        </w:tc>
        <w:tc>
          <w:tcPr>
            <w:tcW w:type="dxa" w:w="190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PlantVillage</w:t>
            </w:r>
          </w:p>
        </w:tc>
        <w:tc>
          <w:tcPr>
            <w:tcW w:type="dxa" w:w="74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12</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20,214</w:t>
            </w:r>
          </w:p>
        </w:tc>
        <w:tc>
          <w:tcPr>
            <w:tcW w:type="dxa" w:w="227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同源数据内跨蔬菜作物病害验证</w:t>
            </w:r>
          </w:p>
        </w:tc>
        <w:tc>
          <w:tcPr>
            <w:tcW w:type="dxa" w:w="92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8</w:t>
            </w:r>
          </w:p>
        </w:tc>
      </w:tr>
      <w:tr>
        <w:tc>
          <w:tcPr>
            <w:tcW w:type="dxa" w:w="97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MCLD-11</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M_new</w:t>
            </w:r>
          </w:p>
        </w:tc>
        <w:tc>
          <w:tcPr>
            <w:tcW w:type="dxa" w:w="190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Multi-Crop Leaf Disease Dataset</w:t>
            </w:r>
          </w:p>
        </w:tc>
        <w:tc>
          <w:tcPr>
            <w:tcW w:type="dxa" w:w="74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11</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4,842</w:t>
            </w:r>
          </w:p>
        </w:tc>
        <w:tc>
          <w:tcPr>
            <w:tcW w:type="dxa" w:w="227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独立来源多作物病害稳健性</w:t>
            </w:r>
          </w:p>
        </w:tc>
        <w:tc>
          <w:tcPr>
            <w:tcW w:type="dxa" w:w="92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129</w:t>
            </w:r>
          </w:p>
        </w:tc>
      </w:tr>
      <w:tr>
        <w:tc>
          <w:tcPr>
            <w:tcW w:type="dxa" w:w="97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MCLD-9</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M_new_drop5_drop7</w:t>
            </w:r>
          </w:p>
        </w:tc>
        <w:tc>
          <w:tcPr>
            <w:tcW w:type="dxa" w:w="190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Multi-Crop Leaf Disease Dataset</w:t>
            </w:r>
          </w:p>
        </w:tc>
        <w:tc>
          <w:tcPr>
            <w:tcW w:type="dxa" w:w="74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9</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4,440</w:t>
            </w:r>
          </w:p>
        </w:tc>
        <w:tc>
          <w:tcPr>
            <w:tcW w:type="dxa" w:w="227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预先整理子集与类别构成敏感性</w:t>
            </w:r>
          </w:p>
        </w:tc>
        <w:tc>
          <w:tcPr>
            <w:tcW w:type="dxa" w:w="92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129</w:t>
            </w:r>
          </w:p>
        </w:tc>
      </w:tr>
      <w:tr>
        <w:tc>
          <w:tcPr>
            <w:tcW w:type="dxa" w:w="979"/>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DFLD-BR-4</w:t>
            </w:r>
          </w:p>
        </w:tc>
        <w:tc>
          <w:tcPr>
            <w:tcW w:type="dxa" w:w="1037"/>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G_new</w:t>
            </w:r>
          </w:p>
        </w:tc>
        <w:tc>
          <w:tcPr>
            <w:tcW w:type="dxa" w:w="1901"/>
            <w:vAlign w:val="center"/>
            <w:tcBorders>
              <w:top w:val="nil"/>
              <w:left w:val="nil"/>
              <w:bottom w:val="single" w:sz="8" w:color="000000"/>
              <w:right w:val="nil"/>
              <w:insideH w:val="nil"/>
              <w:insideV w:val="nil"/>
            </w:tcBorders>
            <w:tcMar>
              <w:top w:w="25" w:type="dxa"/>
              <w:left w:w="35" w:type="dxa"/>
              <w:bottom w:w="25" w:type="dxa"/>
              <w:right w:w="35" w:type="dxa"/>
            </w:tcMar>
          </w:tcPr>
          <w:p>
            <w:r>
              <w:t>Plant Leaf Disease Recognition Dataset（Background Removed，V1；CC BY 4.0）</w:t>
            </w:r>
          </w:p>
        </w:tc>
        <w:tc>
          <w:tcPr>
            <w:tcW w:type="dxa" w:w="749"/>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4</w:t>
            </w:r>
          </w:p>
        </w:tc>
        <w:tc>
          <w:tcPr>
            <w:tcW w:type="dxa" w:w="1037"/>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3,730</w:t>
            </w:r>
          </w:p>
        </w:tc>
        <w:tc>
          <w:tcPr>
            <w:tcW w:type="dxa" w:w="2275"/>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辅助作物种类聚类</w:t>
            </w:r>
          </w:p>
        </w:tc>
        <w:tc>
          <w:tcPr>
            <w:tcW w:type="dxa" w:w="922"/>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391</w:t>
            </w:r>
          </w:p>
        </w:tc>
      </w:tr>
    </w:tbl>
    <w:p>
      <w:pPr>
        <w:pStyle w:val="BodyText"/>
        <w:jc w:val="both"/>
      </w:pPr>
      <w:r>
        <w:rPr>
          <w:rFonts w:ascii="Times New Roman" w:hAnsi="Times New Roman" w:eastAsia="宋体"/>
          <w:i w:val="0"/>
          <w:sz w:val="21"/>
        </w:rPr>
        <w:t>PV-Fruit与PV-Vegetable是本文从PlantVillage构建的实验子集，并非官方独立发布的数据集。MCLD-9未纳入Potato - nematode与Rice - leaf blast。Potato - nematode仅68幅，且属于线虫危害，与典型叶部真菌、细菌或病毒病斑任务范围存在差异；在缺少额外质量异常证据时，本文不将Rice - leaf blast描述为错误或低质量类别。MCLD-9仅作为预先整理子集分析，MCLD-11同步报告以避免选择性报告。</w:t>
      </w:r>
    </w:p>
    <w:p>
      <w:pPr>
        <w:pStyle w:val="Heading2"/>
        <w:keepNext/>
      </w:pPr>
      <w:r>
        <w:rPr>
          <w:rFonts w:ascii="Arial" w:hAnsi="Arial" w:eastAsia="黑体"/>
          <w:b/>
          <w:sz w:val="26"/>
        </w:rPr>
        <w:t>3.3 数据审计</w:t>
      </w:r>
    </w:p>
    <w:p>
      <w:pPr>
        <w:pStyle w:val="BodyText"/>
        <w:jc w:val="both"/>
      </w:pPr>
      <w:r>
        <w:rPr>
          <w:rFonts w:ascii="Times New Roman" w:hAnsi="Times New Roman" w:eastAsia="宋体"/>
          <w:i w:val="0"/>
          <w:sz w:val="21"/>
        </w:rPr>
        <w:t>字节级完全重复图像通过SHA256识别，每个重复组只保留一份。pHash用于近重复风险审计，但感知哈希不能可靠区分同源变换图像与具有相似病斑表型的不同叶片，因此本文不依据pHash自动删除样本，pHash结果也不参与特征提取、降维、聚类、拒识或评价。</w:t>
      </w:r>
    </w:p>
    <w:p>
      <w:pPr>
        <w:pStyle w:val="Heading2"/>
        <w:keepNext/>
      </w:pPr>
      <w:r>
        <w:rPr>
          <w:rFonts w:ascii="Arial" w:hAnsi="Arial" w:eastAsia="黑体"/>
          <w:b/>
          <w:sz w:val="26"/>
        </w:rPr>
        <w:t>3.4 冻结视觉特征提取</w:t>
      </w:r>
    </w:p>
    <w:p>
      <w:pPr>
        <w:pStyle w:val="Heading3"/>
        <w:keepNext/>
      </w:pPr>
      <w:r>
        <w:rPr>
          <w:rFonts w:ascii="Arial" w:hAnsi="Arial" w:eastAsia="黑体"/>
          <w:b/>
          <w:sz w:val="23"/>
        </w:rPr>
        <w:t>3.4.1 ConvNeXt主设置</w:t>
      </w:r>
    </w:p>
    <w:p>
      <w:pPr>
        <w:pStyle w:val="BodyText"/>
        <w:jc w:val="both"/>
      </w:pPr>
      <w:r>
        <w:t>主流程采用ConvNeXt-XLarge结构（Liu et al., 2022），通过timm中的旧别名convnext_xlarge_in22k初始化；该别名对应当前公开配置convnext_xlarge.fb_in22k（Wightman, 2019）。代码使用timm.create_model("convnext_xlarge_in22k", pretrained=False, num_classes=0, global_pool="avg")构建网络，并手动载入model.safetensors。载入时移除model.前缀、排除分类头参数并设置strict=False。网络处于eval模式，所有参数冻结，不进行目标数据集训练或微调。输入图像调整为224×224 RGB，使用ImageNet均值和标准差归一化，经全局平均池化获得2048维float32特征。</w:t>
      </w:r>
    </w:p>
    <w:p>
      <w:pPr>
        <w:pStyle w:val="BodyText"/>
        <w:jc w:val="both"/>
      </w:pPr>
      <w:r>
        <w:t>权重来源已完成可追溯性核验。本地model.safetensors与Hugging Face公开仓库timm/convnext_xlarge.fb_in22k中的同名权重逐字节一致；本地与公开文件的SHA256均为72b257ce7a079089c1bac54151807caf1b10d33a570fa9738a3ba437d24fc4d9。公开模型卡说明该权重由ConvNeXt论文作者在ImageNet-22K上进行监督预训练，输入尺寸为224×224，模型仓库标注为Apache License 2.0。因此，本文将该设置表述为“公开ImageNet-22K监督预训练ConvNeXt-XLarge权重”。由于ConvNeXt与DINOv2在架构、预训练数据和预训练目标上均不同，二者绝对差异仍不被解释为骨干架构本身的因果优劣。</w:t>
      </w:r>
    </w:p>
    <w:p>
      <w:pPr>
        <w:pStyle w:val="Heading3"/>
        <w:keepNext/>
      </w:pPr>
      <w:r>
        <w:rPr>
          <w:rFonts w:ascii="Arial" w:hAnsi="Arial" w:eastAsia="黑体"/>
          <w:b/>
          <w:sz w:val="23"/>
        </w:rPr>
        <w:t>3.4.2 DINOv2外部无监督基线</w:t>
      </w:r>
    </w:p>
    <w:p>
      <w:pPr>
        <w:pStyle w:val="BodyText"/>
        <w:jc w:val="both"/>
      </w:pPr>
      <w:r>
        <w:t>为检验共识拒识机制是否依赖单一公开预训练视觉表征设置，本文采用timm的vit_base_patch14_dinov2公开自监督权重作为第二种冻结视觉表征（Oquab et al., 2023）。输入同样为224×224，使用ImageNet均值与标准差归一化，输出768维特征。DINOv2不在目标数据集上使用真实标签训练或微调。实验包括DINOv2+KMeans全样本基线、DINOv2+UMAP下的KMeans/Birch/Agglomerative、二取三多数共识（C2）和三算法严格共识（C3）。</w:t>
      </w:r>
    </w:p>
    <w:p>
      <w:pPr>
        <w:pStyle w:val="Heading2"/>
        <w:keepNext/>
      </w:pPr>
      <w:r>
        <w:rPr>
          <w:rFonts w:ascii="Arial" w:hAnsi="Arial" w:eastAsia="黑体"/>
          <w:b/>
          <w:sz w:val="26"/>
        </w:rPr>
        <w:t>3.5 UMAP与三种异构聚类</w:t>
      </w:r>
    </w:p>
    <w:p>
      <w:pPr>
        <w:pStyle w:val="BodyText"/>
        <w:jc w:val="both"/>
      </w:pPr>
      <w:r>
        <w:rPr>
          <w:rFonts w:ascii="Arial" w:hAnsi="Arial" w:eastAsia="宋体"/>
        </w:rPr>
        <w:t>主实验采用UMAP将特征降至100维（McInnes et al., 2018），参数为n_neighbors=15、min_dist=0.1、metric=euclidean，随机种子依次为11、22、33、44和55。统一设定K=20以保持跨数据集比较，并避免利用真实类别数为每个数据集单独优化。该配置是统一主配置，不被解释为所有数据集上的最优解。</w:t>
      </w:r>
    </w:p>
    <w:p>
      <w:pPr>
        <w:pStyle w:val="BodyText"/>
        <w:jc w:val="both"/>
      </w:pPr>
      <w:r>
        <w:rPr>
          <w:rFonts w:ascii="Arial" w:hAnsi="Arial" w:eastAsia="宋体"/>
        </w:rPr>
        <w:t>在同一表示上分别执行KMeans、Birch和Agglomerative。KMeans设置n_clusters=20、n_init=10和random_state=seed（Lloyd, 1982）；Birch设置threshold=0.11、branching_factor=25和n_clusters=20（Zhang et al., 1996）；Agglomerative设置n_clusters=20与Ward linkage，使用欧氏距离（Murtagh and Contreras, 2012）。三种算法分别代表中心划分、增量聚类和层次合并范式。相关聚类与评价实现基于scikit-learn（Pedregosa et al., 2011）。</w:t>
      </w:r>
    </w:p>
    <w:p>
      <w:pPr>
        <w:pStyle w:val="Heading2"/>
        <w:keepNext/>
      </w:pPr>
      <w:r>
        <w:rPr>
          <w:rFonts w:ascii="Arial" w:hAnsi="Arial" w:eastAsia="黑体"/>
          <w:b/>
          <w:sz w:val="26"/>
        </w:rPr>
        <w:t>3.6 跨算法簇编号对齐</w:t>
      </w:r>
    </w:p>
    <w:p>
      <w:pPr>
        <w:pStyle w:val="BodyText"/>
        <w:jc w:val="both"/>
      </w:pPr>
      <w:r>
        <w:rPr>
          <w:rFonts w:ascii="Times New Roman" w:hAnsi="Times New Roman" w:eastAsia="宋体"/>
          <w:i w:val="0"/>
          <w:sz w:val="21"/>
        </w:rPr>
        <w:t>以KMeans为参考，对KMeans簇i和另一算法簇j统计共同样本数，形成20×20重叠矩阵O。通过Hungarian算法求解最大重叠一一匹配：</w:t>
      </w:r>
    </w:p>
    <w:p>
      <w:pPr>
        <w:spacing w:before="80" w:after="80"/>
        <w:ind w:firstLine="0"/>
        <w:jc w:val="center"/>
      </w:pPr>
      <w:r>
        <w:rPr>
          <w:rFonts w:ascii="Times New Roman" w:hAnsi="Times New Roman" w:eastAsia="宋体"/>
          <w:sz w:val="21"/>
        </w:rPr>
        <w:t>π* = arg max_π Σᵢ Oᵢ,π(i)    (1)</w:t>
      </w:r>
    </w:p>
    <w:p>
      <w:pPr>
        <w:pStyle w:val="BodyText"/>
        <w:jc w:val="both"/>
      </w:pPr>
      <w:r>
        <w:rPr>
          <w:rFonts w:ascii="Times New Roman" w:hAnsi="Times New Roman" w:eastAsia="宋体"/>
          <w:i w:val="0"/>
          <w:sz w:val="21"/>
        </w:rPr>
        <w:t>由此将Birch和Agglomerative簇编号排列到KMeans参考空间；不能映射的簇记为−1。该过程只读取预测簇成员关系，不读取真实标签。</w:t>
      </w:r>
    </w:p>
    <w:p>
      <w:pPr>
        <w:keepNext/>
        <w:spacing w:after="40"/>
        <w:ind w:firstLine="0"/>
        <w:jc w:val="center"/>
      </w:pPr>
      <w:r>
        <w:drawing>
          <wp:inline xmlns:a="http://schemas.openxmlformats.org/drawingml/2006/main" xmlns:pic="http://schemas.openxmlformats.org/drawingml/2006/picture">
            <wp:extent cx="5989320" cy="2679669"/>
            <wp:docPr id="21" name="Figure 1" title="Figure 1" descr="Workflow showing unlabeled leaf images, frozen ConvNeXt or DINOv2 features, UMAP, three heterogeneous clustering algorithms, Hungarian cluster-ID alignment, C2/C3 consensus rejection, retained and rejected samples, and post-hoc evaluation where labels are used only after results are fixed."/>
            <wp:cNvGraphicFramePr>
              <a:graphicFrameLocks noChangeAspect="1"/>
            </wp:cNvGraphicFramePr>
            <a:graphic>
              <a:graphicData uri="http://schemas.openxmlformats.org/drawingml/2006/picture">
                <pic:pic>
                  <pic:nvPicPr>
                    <pic:cNvPr id="0" name="Fig01_Framework.png"/>
                    <pic:cNvPicPr/>
                  </pic:nvPicPr>
                  <pic:blipFill>
                    <a:blip r:embed="rId31"/>
                    <a:stretch>
                      <a:fillRect/>
                    </a:stretch>
                  </pic:blipFill>
                  <pic:spPr>
                    <a:xfrm>
                      <a:off x="0" y="0"/>
                      <a:ext cx="5989320" cy="2679669"/>
                    </a:xfrm>
                    <a:prstGeom prst="rect"/>
                  </pic:spPr>
                </pic:pic>
              </a:graphicData>
            </a:graphic>
          </wp:inline>
        </w:drawing>
      </w:r>
    </w:p>
    <w:p>
      <w:pPr>
        <w:pStyle w:val="Caption"/>
        <w:keepNext w:val="0"/>
        <w:spacing w:before="60" w:after="160"/>
        <w:jc w:val="center"/>
      </w:pPr>
      <w:r>
        <w:rPr>
          <w:sz w:val="18"/>
        </w:rPr>
        <w:t>图1  基于异构聚类对齐与共识拒识的传导式选择性无监督聚类框架。全部图像在无标签条件下参与特征提取、UMAP、聚类、簇编号对齐和共识筛选；真实标签仅在结果固定后用于多对一事后类别对齐和外部评价。</w:t>
      </w:r>
    </w:p>
    <w:p>
      <w:pPr>
        <w:pStyle w:val="Heading2"/>
        <w:keepNext/>
      </w:pPr>
      <w:r>
        <w:rPr>
          <w:rFonts w:ascii="Arial" w:hAnsi="Arial" w:eastAsia="黑体"/>
          <w:b/>
          <w:sz w:val="26"/>
        </w:rPr>
        <w:t>3.7 共识保留与拒识规则</w:t>
      </w:r>
    </w:p>
    <w:p>
      <w:pPr>
        <w:pStyle w:val="BodyText"/>
        <w:jc w:val="both"/>
      </w:pPr>
      <w:r>
        <w:rPr>
          <w:rFonts w:ascii="Times New Roman" w:hAnsi="Times New Roman" w:eastAsia="宋体"/>
          <w:i w:val="0"/>
          <w:sz w:val="21"/>
        </w:rPr>
        <w:t>设样本xᵢ在对齐后的KMeans、Birch和Agglomerative中的簇编号为cᵢᴷ、cᵢᴮ和cᵢᴬ。本文定义二取三多数共识（two-of-three consensus，C2）与三算法严格共识（strict three-way consensus，C3）两种选择性策略。C3要求三个编号完全一致，C2要求至少两个编号一致：</w:t>
      </w:r>
    </w:p>
    <w:p>
      <w:pPr>
        <w:spacing w:before="80" w:after="80"/>
        <w:ind w:firstLine="0"/>
        <w:jc w:val="center"/>
      </w:pPr>
      <w:r>
        <w:rPr>
          <w:rFonts w:ascii="Times New Roman" w:hAnsi="Times New Roman" w:eastAsia="宋体"/>
          <w:sz w:val="21"/>
        </w:rPr>
        <w:t>aᵢ(C3)=1 ⇔ cᵢᴷ=cᵢᴮ=cᵢᴬ    (2)</w:t>
      </w:r>
    </w:p>
    <w:p>
      <w:pPr>
        <w:spacing w:before="80" w:after="80"/>
        <w:ind w:firstLine="0"/>
        <w:jc w:val="center"/>
      </w:pPr>
      <w:r>
        <w:rPr>
          <w:rFonts w:ascii="Times New Roman" w:hAnsi="Times New Roman" w:eastAsia="宋体"/>
          <w:sz w:val="21"/>
        </w:rPr>
        <w:t>aᵢ(C2)=1 ⇔ mode(cᵢᴷ,cᵢᴮ,cᵢᴬ) 至少出现2次    (3)</w:t>
      </w:r>
    </w:p>
    <w:p>
      <w:pPr>
        <w:pStyle w:val="BodyText"/>
        <w:jc w:val="both"/>
      </w:pPr>
      <w:r>
        <w:rPr>
          <w:rFonts w:ascii="Times New Roman" w:hAnsi="Times New Roman" w:eastAsia="宋体"/>
          <w:i w:val="0"/>
          <w:sz w:val="21"/>
        </w:rPr>
        <w:t>aᵢ=1的样本进入S_kept，否则进入S_rejected。C3对应保守、高置信的严格模式，C2对应覆盖率更高的宽松模式。拒识不使用真实标签、类别纯度或事后准确率。</w:t>
      </w:r>
    </w:p>
    <w:p>
      <w:pPr>
        <w:pStyle w:val="Heading2"/>
        <w:keepNext/>
      </w:pPr>
      <w:r>
        <w:rPr>
          <w:rFonts w:ascii="Arial" w:hAnsi="Arial" w:eastAsia="黑体"/>
          <w:b/>
          <w:sz w:val="26"/>
        </w:rPr>
        <w:t>3.8 多对一事后类别对齐</w:t>
      </w:r>
    </w:p>
    <w:p>
      <w:pPr>
        <w:pStyle w:val="BodyText"/>
        <w:jc w:val="both"/>
      </w:pPr>
      <w:r>
        <w:rPr>
          <w:rFonts w:ascii="Times New Roman" w:hAnsi="Times New Roman" w:eastAsia="宋体"/>
          <w:i w:val="0"/>
          <w:sz w:val="21"/>
        </w:rPr>
        <w:t>聚类与拒识结果固定后，对预测簇Cⱼ统计不同真实类别的样本数，将数量最多的类别作为该簇的外部评价映射：</w:t>
      </w:r>
    </w:p>
    <w:p>
      <w:pPr>
        <w:spacing w:before="80" w:after="80"/>
        <w:ind w:firstLine="0"/>
        <w:jc w:val="center"/>
      </w:pPr>
      <w:r>
        <w:rPr>
          <w:rFonts w:ascii="Times New Roman" w:hAnsi="Times New Roman" w:eastAsia="宋体"/>
          <w:sz w:val="21"/>
        </w:rPr>
        <w:t>m(j)=arg max_c |Cⱼ ∩ Y_c|    (4)</w:t>
      </w:r>
    </w:p>
    <w:p>
      <w:pPr>
        <w:pStyle w:val="BodyText"/>
        <w:jc w:val="both"/>
      </w:pPr>
      <w:r>
        <w:rPr>
          <w:rFonts w:ascii="Times New Roman" w:hAnsi="Times New Roman" w:eastAsia="宋体"/>
          <w:i w:val="0"/>
          <w:sz w:val="21"/>
        </w:rPr>
        <w:t>多个预测簇可以映射到同一真实类别，以容纳同一种病害因症状阶段、纹理或背景差异形成多个视觉子簇。该映射仅用于外部评价，不参与无监督流程，也不建立面向新图像的固定诊断器。</w:t>
      </w:r>
    </w:p>
    <w:p>
      <w:pPr>
        <w:keepNext/>
        <w:spacing w:after="40"/>
        <w:ind w:firstLine="0"/>
        <w:jc w:val="center"/>
      </w:pPr>
      <w:r>
        <w:drawing>
          <wp:inline xmlns:a="http://schemas.openxmlformats.org/drawingml/2006/main" xmlns:pic="http://schemas.openxmlformats.org/drawingml/2006/picture">
            <wp:extent cx="5852160" cy="2772985"/>
            <wp:docPr id="22" name="Figure 2" title="Figure 2" descr="Many-to-one post-hoc mapping in which multiple predicted clusters may map to the same ground-truth disease class for external evaluation only."/>
            <wp:cNvGraphicFramePr>
              <a:graphicFrameLocks noChangeAspect="1"/>
            </wp:cNvGraphicFramePr>
            <a:graphic>
              <a:graphicData uri="http://schemas.openxmlformats.org/drawingml/2006/picture">
                <pic:pic>
                  <pic:nvPicPr>
                    <pic:cNvPr id="0" name="Fig02_PostHoc_ManyToOne_Mapping.png"/>
                    <pic:cNvPicPr/>
                  </pic:nvPicPr>
                  <pic:blipFill>
                    <a:blip r:embed="rId32"/>
                    <a:stretch>
                      <a:fillRect/>
                    </a:stretch>
                  </pic:blipFill>
                  <pic:spPr>
                    <a:xfrm>
                      <a:off x="0" y="0"/>
                      <a:ext cx="5852160" cy="2772985"/>
                    </a:xfrm>
                    <a:prstGeom prst="rect"/>
                  </pic:spPr>
                </pic:pic>
              </a:graphicData>
            </a:graphic>
          </wp:inline>
        </w:drawing>
      </w:r>
    </w:p>
    <w:p>
      <w:pPr>
        <w:pStyle w:val="Caption"/>
        <w:keepNext w:val="0"/>
        <w:spacing w:before="60" w:after="160"/>
        <w:jc w:val="center"/>
      </w:pPr>
      <w:r>
        <w:rPr>
          <w:sz w:val="18"/>
        </w:rPr>
        <w:t>图2  多对一事后类别对齐示意。多个预测簇可以映射到同一真实类别；该步骤只用于结果固定后的外部聚类评价，不改变聚类或拒识结果。</w:t>
      </w:r>
    </w:p>
    <w:p>
      <w:pPr>
        <w:pStyle w:val="Heading2"/>
        <w:keepNext/>
      </w:pPr>
      <w:r>
        <w:rPr>
          <w:rFonts w:ascii="Arial" w:hAnsi="Arial" w:eastAsia="黑体"/>
          <w:b/>
          <w:sz w:val="26"/>
        </w:rPr>
        <w:t>3.9 评价指标</w:t>
      </w:r>
    </w:p>
    <w:p>
      <w:pPr>
        <w:pStyle w:val="BodyText"/>
        <w:jc w:val="both"/>
      </w:pPr>
      <w:r>
        <w:rPr>
          <w:rFonts w:ascii="Arial" w:hAnsi="Arial" w:eastAsia="宋体"/>
        </w:rPr>
        <w:t>本文首先报告保留样本事后对齐聚类准确率（post-hoc aligned clustering accuracy on retained samples，Acc_kept）、覆盖率（Coverage）、拒识率（Rejection rate）与保守全样本准确率（Conservative overall accuracy）。其中，Coverage是选择性预测中描述系统接受比例的标准量（El-Yaniv and Wiener, 2010），Acc_kept则是本文针对事后类别对齐后的保留子集定义的选择性聚类指标：</w:t>
      </w:r>
    </w:p>
    <w:p>
      <w:pPr>
        <w:spacing w:before="80" w:after="80"/>
        <w:ind w:firstLine="0"/>
        <w:jc w:val="center"/>
      </w:pPr>
      <w:r>
        <w:rPr>
          <w:rFonts w:ascii="Times New Roman" w:hAnsi="Times New Roman" w:eastAsia="宋体"/>
          <w:sz w:val="21"/>
        </w:rPr>
        <w:t>Acc_kept = N_correct,kept / N_kept    (5)</w:t>
      </w:r>
    </w:p>
    <w:p>
      <w:pPr>
        <w:spacing w:before="80" w:after="80"/>
        <w:ind w:firstLine="0"/>
        <w:jc w:val="center"/>
      </w:pPr>
      <w:r>
        <w:rPr>
          <w:rFonts w:ascii="Times New Roman" w:hAnsi="Times New Roman" w:eastAsia="宋体"/>
          <w:sz w:val="21"/>
        </w:rPr>
        <w:t>Coverage = N_kept / N    (6)</w:t>
      </w:r>
    </w:p>
    <w:p>
      <w:pPr>
        <w:spacing w:before="80" w:after="80"/>
        <w:ind w:firstLine="0"/>
        <w:jc w:val="center"/>
      </w:pPr>
      <w:r>
        <w:rPr>
          <w:rFonts w:ascii="Times New Roman" w:hAnsi="Times New Roman" w:eastAsia="宋体"/>
          <w:sz w:val="21"/>
        </w:rPr>
        <w:t>Rejection rate = 1 − Coverage    (7)</w:t>
      </w:r>
    </w:p>
    <w:p>
      <w:pPr>
        <w:spacing w:before="80" w:after="80"/>
        <w:ind w:firstLine="0"/>
        <w:jc w:val="center"/>
      </w:pPr>
      <w:r>
        <w:rPr>
          <w:rFonts w:ascii="Times New Roman" w:hAnsi="Times New Roman" w:eastAsia="宋体"/>
          <w:sz w:val="21"/>
        </w:rPr>
        <w:t>Conservative overall accuracy = N_correct,kept / N = Acc_kept × Coverage    (8)</w:t>
      </w:r>
    </w:p>
    <w:p>
      <w:pPr>
        <w:pStyle w:val="BodyText"/>
        <w:jc w:val="both"/>
      </w:pPr>
      <w:r>
        <w:rPr>
          <w:rFonts w:ascii="Arial" w:hAnsi="Arial" w:eastAsia="宋体"/>
        </w:rPr>
        <w:t>保守全样本准确率将拒识样本计入全样本分母，但不表示拒识样本实际均被错误分类。为减少多对一映射和过度分簇对解释的影响，本文同时报告调整兰德指数（Adjusted Rand Index，ARI；Hubert and Arabie, 1985）、归一化互信息（Normalized Mutual Information，NMI）和调整互信息（Adjusted Mutual Information，AMI；Vinh et al., 2010），并补充Homogeneity、Completeness和V-measure。下标all表示在全部样本上计算，下标kept表示仅在C3保留样本上计算。</w:t>
      </w:r>
    </w:p>
    <w:p>
      <w:pPr>
        <w:pStyle w:val="Heading2"/>
        <w:keepNext/>
      </w:pPr>
      <w:r>
        <w:rPr>
          <w:rFonts w:ascii="Arial" w:hAnsi="Arial" w:eastAsia="黑体"/>
          <w:b/>
          <w:sz w:val="26"/>
        </w:rPr>
        <w:t>3.10 对照实验与统计分析</w:t>
      </w:r>
    </w:p>
    <w:p>
      <w:pPr>
        <w:pStyle w:val="BodyText"/>
        <w:jc w:val="both"/>
      </w:pPr>
      <w:r>
        <w:rPr>
          <w:rFonts w:ascii="Arial" w:hAnsi="Arial" w:eastAsia="宋体"/>
        </w:rPr>
        <w:t>内部基线包括KMeans、Birch、Agglomerative、二取三多数共识（C2）和三算法严格共识（C3）。KMeans距离拒识按样本到所属质心距离由大到小拒识，使其拒识率与C3完全相同；随机同覆盖率拒识在每个主随机种子下重复20次并先在seed内取均值。公平降维比较Raw、PCA 100D和UMAP 100D，其中PCA作为经典线性降维基线（Jolliffe and Cadima, 2016）；PV-Fruit与PV-Vegetable固定使用同一批6000张样本，MCLD-9使用全部4440张。参数敏感性测试UMAP维度50、100、200和K=10、15、20、30。</w:t>
      </w:r>
    </w:p>
    <w:p>
      <w:pPr>
        <w:pStyle w:val="BodyText"/>
        <w:jc w:val="both"/>
      </w:pPr>
      <w:r>
        <w:t>方法差异使用种子级配对Bootstrap。Bootstrap通过对观测单位进行有放回重采样估计统计量的不确定性（Efron, 1979）；本文以5个随机种子为配对重采样单位，重复20,000次并采用百分位法计算95%置信区间。正文以逐数据集配对结果为主；跨数据集合并结果仅作为趋势，不视为20个同质独立重复。最终均值±标准差统一报告5个随机种子的样本标准差。 全部统计图、热图、混淆矩阵和方法示意图均由可复现的Python/Matplotlib脚本从实验结果CSV或明确的方法定义生成，未使用生成式AI创建或修改科研图件。</w:t>
      </w:r>
    </w:p>
    <w:p>
      <w:pPr>
        <w:pStyle w:val="Heading1"/>
        <w:keepNext/>
      </w:pPr>
      <w:r>
        <w:rPr>
          <w:rFonts w:ascii="Arial" w:hAnsi="Arial" w:eastAsia="黑体"/>
          <w:b/>
          <w:sz w:val="32"/>
        </w:rPr>
        <w:t>4 结果</w:t>
      </w:r>
    </w:p>
    <w:p>
      <w:pPr>
        <w:pStyle w:val="Heading2"/>
        <w:keepNext/>
      </w:pPr>
      <w:r>
        <w:rPr>
          <w:rFonts w:ascii="Arial" w:hAnsi="Arial" w:eastAsia="黑体"/>
          <w:b/>
          <w:sz w:val="26"/>
        </w:rPr>
        <w:t>4.1 主实验结果</w:t>
      </w:r>
    </w:p>
    <w:p>
      <w:pPr>
        <w:pStyle w:val="Caption"/>
        <w:keepNext w:val="0"/>
        <w:jc w:val="center"/>
      </w:pPr>
      <w:r>
        <w:rPr>
          <w:rFonts w:ascii="Times New Roman" w:hAnsi="Times New Roman" w:eastAsia="宋体"/>
          <w:b w:val="0"/>
          <w:sz w:val="18"/>
        </w:rPr>
        <w:t>表2  统一UMAP 100维、K=20与三算法严格共识（C3）规则下的主实验结果（均值±样本标准差，5个随机种子）。</w:t>
      </w:r>
    </w:p>
    <w:tbl>
      <w:tblPr>
        <w:tblW w:type="auto" w:w="0"/>
        <w:jc w:val="center"/>
        <w:tblLayout w:type="fixed"/>
        <w:tblLook w:firstColumn="1" w:firstRow="1" w:lastColumn="0" w:lastRow="0" w:noHBand="0" w:noVBand="1" w:val="04A0"/>
      </w:tblPr>
      <w:tblGrid>
        <w:gridCol w:w="1162"/>
        <w:gridCol w:w="1162"/>
        <w:gridCol w:w="1162"/>
        <w:gridCol w:w="1162"/>
        <w:gridCol w:w="1162"/>
        <w:gridCol w:w="1162"/>
        <w:gridCol w:w="1162"/>
        <w:gridCol w:w="1162"/>
      </w:tblGrid>
      <w:tr>
        <w:trPr>
          <w:tblHeader w:val="true"/>
        </w:trPr>
        <w:tc>
          <w:tcPr>
            <w:tcW w:type="dxa" w:w="1152"/>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数据集</w:t>
            </w:r>
          </w:p>
        </w:tc>
        <w:tc>
          <w:tcPr>
            <w:tcW w:type="dxa" w:w="950"/>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样本数</w:t>
            </w:r>
          </w:p>
        </w:tc>
        <w:tc>
          <w:tcPr>
            <w:tcW w:type="dxa" w:w="1037"/>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t>Acc_kept</w:t>
            </w:r>
          </w:p>
        </w:tc>
        <w:tc>
          <w:tcPr>
            <w:tcW w:type="dxa" w:w="1037"/>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before="0" w:after="0" w:line="240" w:lineRule="auto"/>
              <w:jc w:val="center"/>
            </w:pPr>
            <w:r>
              <w:rPr>
                <w:rFonts w:ascii="Times New Roman" w:hAnsi="Times New Roman" w:eastAsia="宋体"/>
                <w:b/>
                <w:sz w:val="15"/>
              </w:rPr>
              <w:t>Coverage</w:t>
            </w:r>
          </w:p>
        </w:tc>
        <w:tc>
          <w:tcPr>
            <w:tcW w:type="dxa" w:w="1440"/>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保守全样本准确率</w:t>
            </w:r>
          </w:p>
        </w:tc>
        <w:tc>
          <w:tcPr>
            <w:tcW w:type="dxa" w:w="893"/>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ARI_kept</w:t>
            </w:r>
          </w:p>
        </w:tc>
        <w:tc>
          <w:tcPr>
            <w:tcW w:type="dxa" w:w="893"/>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NMI_kept</w:t>
            </w:r>
          </w:p>
        </w:tc>
        <w:tc>
          <w:tcPr>
            <w:tcW w:type="dxa" w:w="893"/>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AMI_kept</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PV-Fruit</w:t>
            </w:r>
          </w:p>
        </w:tc>
        <w:tc>
          <w:tcPr>
            <w:tcW w:type="dxa" w:w="95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13,950</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99.95% ± 0.00%</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78.70% ± 4.58%</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78.65% ± 4.58%</w:t>
            </w:r>
          </w:p>
        </w:tc>
        <w:tc>
          <w:tcPr>
            <w:tcW w:type="dxa" w:w="89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0.517 ± 0.047</w:t>
            </w:r>
          </w:p>
        </w:tc>
        <w:tc>
          <w:tcPr>
            <w:tcW w:type="dxa" w:w="89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0.827 ± 0.015</w:t>
            </w:r>
          </w:p>
        </w:tc>
        <w:tc>
          <w:tcPr>
            <w:tcW w:type="dxa" w:w="89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0.827 ± 0.015</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PV-Vegetable</w:t>
            </w:r>
          </w:p>
        </w:tc>
        <w:tc>
          <w:tcPr>
            <w:tcW w:type="dxa" w:w="95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20,214</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97.85% ± 2.10%</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89.99% ± 4.34%</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88.01% ± 3.35%</w:t>
            </w:r>
          </w:p>
        </w:tc>
        <w:tc>
          <w:tcPr>
            <w:tcW w:type="dxa" w:w="89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0.764 ± 0.030</w:t>
            </w:r>
          </w:p>
        </w:tc>
        <w:tc>
          <w:tcPr>
            <w:tcW w:type="dxa" w:w="89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0.915 ± 0.011</w:t>
            </w:r>
          </w:p>
        </w:tc>
        <w:tc>
          <w:tcPr>
            <w:tcW w:type="dxa" w:w="89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0.914 ± 0.011</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MCLD-9</w:t>
            </w:r>
          </w:p>
        </w:tc>
        <w:tc>
          <w:tcPr>
            <w:tcW w:type="dxa" w:w="95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4,440</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90.72% ± 1.48%</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90.61% ± 5.05%</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82.14% ± 3.23%</w:t>
            </w:r>
          </w:p>
        </w:tc>
        <w:tc>
          <w:tcPr>
            <w:tcW w:type="dxa" w:w="89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0.578 ± 0.039</w:t>
            </w:r>
          </w:p>
        </w:tc>
        <w:tc>
          <w:tcPr>
            <w:tcW w:type="dxa" w:w="89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0.782 ± 0.019</w:t>
            </w:r>
          </w:p>
        </w:tc>
        <w:tc>
          <w:tcPr>
            <w:tcW w:type="dxa" w:w="89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0.780 ± 0.019</w:t>
            </w:r>
          </w:p>
        </w:tc>
      </w:tr>
      <w:tr>
        <w:tc>
          <w:tcPr>
            <w:tcW w:type="dxa" w:w="1152"/>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DFLD-BR-4</w:t>
            </w:r>
          </w:p>
        </w:tc>
        <w:tc>
          <w:tcPr>
            <w:tcW w:type="dxa" w:w="950"/>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3,730</w:t>
            </w:r>
          </w:p>
        </w:tc>
        <w:tc>
          <w:tcPr>
            <w:tcW w:type="dxa" w:w="1037"/>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99.86% ± 0.05%</w:t>
            </w:r>
          </w:p>
        </w:tc>
        <w:tc>
          <w:tcPr>
            <w:tcW w:type="dxa" w:w="1037"/>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76.10% ± 5.52%</w:t>
            </w:r>
          </w:p>
        </w:tc>
        <w:tc>
          <w:tcPr>
            <w:tcW w:type="dxa" w:w="1440"/>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75.99% ± 5.50%</w:t>
            </w:r>
          </w:p>
        </w:tc>
        <w:tc>
          <w:tcPr>
            <w:tcW w:type="dxa" w:w="893"/>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0.343 ± 0.012</w:t>
            </w:r>
          </w:p>
        </w:tc>
        <w:tc>
          <w:tcPr>
            <w:tcW w:type="dxa" w:w="893"/>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0.657 ± 0.006</w:t>
            </w:r>
          </w:p>
        </w:tc>
        <w:tc>
          <w:tcPr>
            <w:tcW w:type="dxa" w:w="893"/>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0.655 ± 0.006</w:t>
            </w:r>
          </w:p>
        </w:tc>
      </w:tr>
    </w:tbl>
    <w:p>
      <w:pPr>
        <w:pStyle w:val="BodyText"/>
        <w:jc w:val="both"/>
      </w:pPr>
      <w:r>
        <w:rPr>
          <w:rFonts w:ascii="Times New Roman" w:hAnsi="Times New Roman" w:eastAsia="宋体"/>
          <w:i w:val="0"/>
          <w:sz w:val="21"/>
        </w:rPr>
        <w:t>PV-Fruit的Acc_kept接近100%，但覆盖率仅78.70%，说明其基础聚类已接近天花板，严格共识没有继续提高事后对齐准确率。PV-Vegetable在89.99%覆盖率下达到97.85%的Acc_kept，风险—覆盖率更均衡。MCLD-9取得90.72%的Acc_kept，体现多作物、跨症状类别带来的更高难度。DFLD-BR-4的标签为作物种类而非病害类别，因此仅作为辅助视觉聚类结果。</w:t>
      </w:r>
    </w:p>
    <w:p>
      <w:pPr>
        <w:keepNext/>
        <w:spacing w:after="40"/>
        <w:ind w:firstLine="0"/>
        <w:jc w:val="center"/>
      </w:pPr>
      <w:r>
        <w:drawing>
          <wp:inline xmlns:a="http://schemas.openxmlformats.org/drawingml/2006/main" xmlns:pic="http://schemas.openxmlformats.org/drawingml/2006/picture">
            <wp:extent cx="5806440" cy="3278694"/>
            <wp:docPr id="23" name="Figure 3" title="Figure 3" descr="Grouped bars comparing Acc_kept, Coverage and conservative overall accuracy for PV-Fruit, PV-Vegetable, MCLD-11, MCLD-9 and the auxiliary DFLD-BR-4 set."/>
            <wp:cNvGraphicFramePr>
              <a:graphicFrameLocks noChangeAspect="1"/>
            </wp:cNvGraphicFramePr>
            <a:graphic>
              <a:graphicData uri="http://schemas.openxmlformats.org/drawingml/2006/picture">
                <pic:pic>
                  <pic:nvPicPr>
                    <pic:cNvPr id="0" name="Fig03_Main_C3_Results.png"/>
                    <pic:cNvPicPr/>
                  </pic:nvPicPr>
                  <pic:blipFill>
                    <a:blip r:embed="rId33"/>
                    <a:stretch>
                      <a:fillRect/>
                    </a:stretch>
                  </pic:blipFill>
                  <pic:spPr>
                    <a:xfrm>
                      <a:off x="0" y="0"/>
                      <a:ext cx="5806440" cy="3278694"/>
                    </a:xfrm>
                    <a:prstGeom prst="rect"/>
                  </pic:spPr>
                </pic:pic>
              </a:graphicData>
            </a:graphic>
          </wp:inline>
        </w:drawing>
      </w:r>
    </w:p>
    <w:p>
      <w:pPr>
        <w:pStyle w:val="Caption"/>
        <w:keepNext w:val="0"/>
        <w:spacing w:before="60" w:after="160"/>
        <w:jc w:val="center"/>
      </w:pPr>
      <w:r>
        <w:rPr>
          <w:sz w:val="18"/>
        </w:rPr>
        <w:t>图3  统一UMAP 100维、K=20和三算法严格共识（C3）设置下的Acc_kept、Coverage和保守全样本准确率。柱高为5个随机种子的均值，误差线为样本标准差；DFLD-BR-4仅作为作物种类辅助集。</w:t>
      </w:r>
    </w:p>
    <w:p>
      <w:pPr>
        <w:pStyle w:val="Heading2"/>
        <w:keepNext/>
      </w:pPr>
      <w:r>
        <w:rPr>
          <w:rFonts w:ascii="Arial" w:hAnsi="Arial" w:eastAsia="黑体"/>
          <w:b/>
          <w:sz w:val="26"/>
        </w:rPr>
        <w:t>4.2 完整消融与拒识基线</w:t>
      </w:r>
    </w:p>
    <w:p>
      <w:pPr>
        <w:pStyle w:val="Caption"/>
        <w:keepNext w:val="0"/>
        <w:jc w:val="center"/>
      </w:pPr>
      <w:r>
        <w:rPr>
          <w:rFonts w:ascii="Times New Roman" w:hAnsi="Times New Roman" w:eastAsia="宋体"/>
          <w:b w:val="0"/>
          <w:sz w:val="18"/>
        </w:rPr>
        <w:t>表3  单算法、共识规则与同覆盖率拒识基线（5个随机种子；标准差统一换算为样本标准差）。</w:t>
      </w:r>
    </w:p>
    <w:tbl>
      <w:tblPr>
        <w:tblW w:type="auto" w:w="0"/>
        <w:jc w:val="center"/>
        <w:tblLayout w:type="fixed"/>
        <w:tblLook w:firstColumn="1" w:firstRow="1" w:lastColumn="0" w:lastRow="0" w:noHBand="0" w:noVBand="1" w:val="04A0"/>
      </w:tblPr>
      <w:tblGrid>
        <w:gridCol w:w="1328"/>
        <w:gridCol w:w="1328"/>
        <w:gridCol w:w="1328"/>
        <w:gridCol w:w="1328"/>
        <w:gridCol w:w="1328"/>
        <w:gridCol w:w="1328"/>
        <w:gridCol w:w="1328"/>
      </w:tblGrid>
      <w:tr>
        <w:trPr>
          <w:tblHeader w:val="true"/>
        </w:trPr>
        <w:tc>
          <w:tcPr>
            <w:tcW w:type="dxa" w:w="1094"/>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4"/>
              </w:rPr>
            </w:r>
            <w:r>
              <w:rPr>
                <w:rFonts w:ascii="Times New Roman" w:hAnsi="Times New Roman" w:eastAsia="宋体"/>
                <w:b/>
                <w:sz w:val="14"/>
              </w:rPr>
              <w:t>数据集</w:t>
            </w:r>
          </w:p>
        </w:tc>
        <w:tc>
          <w:tcPr>
            <w:tcW w:type="dxa" w:w="1944"/>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4"/>
              </w:rPr>
            </w:r>
            <w:r>
              <w:rPr>
                <w:rFonts w:ascii="Times New Roman" w:hAnsi="Times New Roman" w:eastAsia="宋体"/>
                <w:b/>
                <w:sz w:val="14"/>
              </w:rPr>
              <w:t>方法</w:t>
            </w:r>
          </w:p>
        </w:tc>
        <w:tc>
          <w:tcPr>
            <w:tcW w:type="dxa" w:w="1195"/>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4"/>
              </w:rPr>
              <w:t>Acc_kept</w:t>
            </w:r>
          </w:p>
        </w:tc>
        <w:tc>
          <w:tcPr>
            <w:tcW w:type="dxa" w:w="1037"/>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4"/>
              </w:rPr>
            </w:r>
            <w:r>
              <w:rPr>
                <w:rFonts w:ascii="Times New Roman" w:hAnsi="Times New Roman" w:eastAsia="宋体"/>
                <w:b/>
                <w:sz w:val="14"/>
              </w:rPr>
              <w:t>拒识率</w:t>
            </w:r>
          </w:p>
        </w:tc>
        <w:tc>
          <w:tcPr>
            <w:tcW w:type="dxa" w:w="1469"/>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4"/>
              </w:rPr>
            </w:r>
            <w:r>
              <w:rPr>
                <w:rFonts w:ascii="Times New Roman" w:hAnsi="Times New Roman" w:eastAsia="宋体"/>
                <w:b/>
                <w:sz w:val="14"/>
              </w:rPr>
              <w:t>保守全样本准确率</w:t>
            </w:r>
          </w:p>
        </w:tc>
        <w:tc>
          <w:tcPr>
            <w:tcW w:type="dxa" w:w="1051"/>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4"/>
              </w:rPr>
            </w:r>
            <w:r>
              <w:rPr>
                <w:rFonts w:ascii="Times New Roman" w:hAnsi="Times New Roman" w:eastAsia="宋体"/>
                <w:b/>
                <w:sz w:val="14"/>
              </w:rPr>
              <w:t>ARI_kept</w:t>
            </w:r>
          </w:p>
        </w:tc>
        <w:tc>
          <w:tcPr>
            <w:tcW w:type="dxa" w:w="1051"/>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4"/>
              </w:rPr>
            </w:r>
            <w:r>
              <w:rPr>
                <w:rFonts w:ascii="Times New Roman" w:hAnsi="Times New Roman" w:eastAsia="宋体"/>
                <w:b/>
                <w:sz w:val="14"/>
              </w:rPr>
              <w:t>NMI_kept</w:t>
            </w:r>
          </w:p>
        </w:tc>
      </w:tr>
      <w:tr>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PV-Fruit</w:t>
            </w:r>
          </w:p>
        </w:tc>
        <w:tc>
          <w:tcPr>
            <w:tcW w:type="dxa" w:w="194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KMeans</w:t>
            </w:r>
          </w:p>
        </w:tc>
        <w:tc>
          <w:tcPr>
            <w:tcW w:type="dxa" w:w="119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99.95% ± 0.00%</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0.00% ± 0.00%</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99.95% ± 0.00%</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0.389 ± 0.004</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0.781 ± 0.002</w:t>
            </w:r>
          </w:p>
        </w:tc>
      </w:tr>
      <w:tr>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PV-Fruit</w:t>
            </w:r>
          </w:p>
        </w:tc>
        <w:tc>
          <w:tcPr>
            <w:tcW w:type="dxa" w:w="194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Birch</w:t>
            </w:r>
          </w:p>
        </w:tc>
        <w:tc>
          <w:tcPr>
            <w:tcW w:type="dxa" w:w="119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99.95% ± 0.00%</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0.00% ± 0.00%</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99.95% ± 0.00%</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0.383 ± 0.001</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0.780 ± 0.000</w:t>
            </w:r>
          </w:p>
        </w:tc>
      </w:tr>
      <w:tr>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PV-Fruit</w:t>
            </w:r>
          </w:p>
        </w:tc>
        <w:tc>
          <w:tcPr>
            <w:tcW w:type="dxa" w:w="194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Agglomerative</w:t>
            </w:r>
          </w:p>
        </w:tc>
        <w:tc>
          <w:tcPr>
            <w:tcW w:type="dxa" w:w="119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99.95% ± 0.00%</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0.00% ± 0.00%</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99.95% ± 0.00%</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0.393 ± 0.009</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0.783 ± 0.003</w:t>
            </w:r>
          </w:p>
        </w:tc>
      </w:tr>
      <w:tr>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PV-Fruit</w:t>
            </w:r>
          </w:p>
        </w:tc>
        <w:tc>
          <w:tcPr>
            <w:tcW w:type="dxa" w:w="1944"/>
            <w:vAlign w:val="center"/>
            <w:tcBorders>
              <w:top w:val="nil"/>
              <w:left w:val="nil"/>
              <w:bottom w:val="nil"/>
              <w:right w:val="nil"/>
              <w:insideH w:val="nil"/>
              <w:insideV w:val="nil"/>
            </w:tcBorders>
            <w:tcMar>
              <w:top w:w="25" w:type="dxa"/>
              <w:left w:w="35" w:type="dxa"/>
              <w:bottom w:w="25" w:type="dxa"/>
              <w:right w:w="35" w:type="dxa"/>
            </w:tcMar>
          </w:tcPr>
          <w:p>
            <w:pPr>
              <w:spacing w:before="0" w:after="0" w:line="240" w:lineRule="auto"/>
              <w:jc w:val="left"/>
            </w:pPr>
            <w:r>
              <w:rPr>
                <w:rFonts w:ascii="Times New Roman" w:hAnsi="Times New Roman" w:eastAsia="宋体"/>
                <w:sz w:val="13"/>
              </w:rPr>
              <w:t>C2（二取三多数共识）</w:t>
            </w:r>
          </w:p>
        </w:tc>
        <w:tc>
          <w:tcPr>
            <w:tcW w:type="dxa" w:w="119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99.95% ± 0.00%</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0.84% ± 0.66%</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99.11% ± 0.65%</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0.395 ± 0.006</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0.784 ± 0.002</w:t>
            </w:r>
          </w:p>
        </w:tc>
      </w:tr>
      <w:tr>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PV-Fruit</w:t>
            </w:r>
          </w:p>
        </w:tc>
        <w:tc>
          <w:tcPr>
            <w:tcW w:type="dxa" w:w="1944"/>
            <w:vAlign w:val="center"/>
            <w:tcBorders>
              <w:top w:val="nil"/>
              <w:left w:val="nil"/>
              <w:bottom w:val="nil"/>
              <w:right w:val="nil"/>
              <w:insideH w:val="nil"/>
              <w:insideV w:val="nil"/>
            </w:tcBorders>
            <w:tcMar>
              <w:top w:w="25" w:type="dxa"/>
              <w:left w:w="35" w:type="dxa"/>
              <w:bottom w:w="25" w:type="dxa"/>
              <w:right w:w="35" w:type="dxa"/>
            </w:tcMar>
          </w:tcPr>
          <w:p>
            <w:pPr>
              <w:spacing w:before="0" w:after="0" w:line="240" w:lineRule="auto"/>
              <w:jc w:val="left"/>
            </w:pPr>
            <w:r>
              <w:rPr>
                <w:rFonts w:ascii="Times New Roman" w:hAnsi="Times New Roman" w:eastAsia="宋体"/>
                <w:sz w:val="13"/>
              </w:rPr>
              <w:t>C3（三算法严格共识）</w:t>
            </w:r>
          </w:p>
        </w:tc>
        <w:tc>
          <w:tcPr>
            <w:tcW w:type="dxa" w:w="119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99.95% ± 0.00%</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21.30% ± 4.58%</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78.65% ± 4.58%</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0.517 ± 0.047</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0.827 ± 0.016</w:t>
            </w:r>
          </w:p>
        </w:tc>
      </w:tr>
      <w:tr>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PV-Fruit</w:t>
            </w:r>
          </w:p>
        </w:tc>
        <w:tc>
          <w:tcPr>
            <w:tcW w:type="dxa" w:w="1944"/>
            <w:vAlign w:val="center"/>
            <w:tcBorders>
              <w:top w:val="nil"/>
              <w:left w:val="nil"/>
              <w:bottom w:val="nil"/>
              <w:right w:val="nil"/>
              <w:insideH w:val="nil"/>
              <w:insideV w:val="nil"/>
            </w:tcBorders>
            <w:tcMar>
              <w:top w:w="25" w:type="dxa"/>
              <w:left w:w="35" w:type="dxa"/>
              <w:bottom w:w="25" w:type="dxa"/>
              <w:right w:w="35" w:type="dxa"/>
            </w:tcMar>
          </w:tcPr>
          <w:p>
            <w:pPr>
              <w:spacing w:before="0" w:after="0" w:line="240" w:lineRule="auto"/>
              <w:jc w:val="left"/>
            </w:pPr>
            <w:r>
              <w:rPr>
                <w:rFonts w:ascii="Times New Roman" w:hAnsi="Times New Roman" w:eastAsia="宋体"/>
                <w:sz w:val="13"/>
              </w:rPr>
              <w:t>KMeans距离拒识</w:t>
            </w:r>
          </w:p>
        </w:tc>
        <w:tc>
          <w:tcPr>
            <w:tcW w:type="dxa" w:w="119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99.94% ± 0.01%</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21.30% ± 4.58%</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78.65% ± 4.58%</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0.410 ± 0.011</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0.787 ± 0.004</w:t>
            </w:r>
          </w:p>
        </w:tc>
      </w:tr>
      <w:tr>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PV-Fruit</w:t>
            </w:r>
          </w:p>
        </w:tc>
        <w:tc>
          <w:tcPr>
            <w:tcW w:type="dxa" w:w="1944"/>
            <w:vAlign w:val="center"/>
            <w:tcBorders>
              <w:top w:val="nil"/>
              <w:left w:val="nil"/>
              <w:bottom w:val="nil"/>
              <w:right w:val="nil"/>
              <w:insideH w:val="nil"/>
              <w:insideV w:val="nil"/>
            </w:tcBorders>
            <w:tcMar>
              <w:top w:w="25" w:type="dxa"/>
              <w:left w:w="35" w:type="dxa"/>
              <w:bottom w:w="25" w:type="dxa"/>
              <w:right w:w="35" w:type="dxa"/>
            </w:tcMar>
          </w:tcPr>
          <w:p>
            <w:pPr>
              <w:spacing w:before="0" w:after="0" w:line="240" w:lineRule="auto"/>
              <w:jc w:val="left"/>
            </w:pPr>
            <w:r>
              <w:rPr>
                <w:rFonts w:ascii="Times New Roman" w:hAnsi="Times New Roman" w:eastAsia="宋体"/>
                <w:sz w:val="13"/>
              </w:rPr>
              <w:t>随机同覆盖率拒识</w:t>
            </w:r>
          </w:p>
        </w:tc>
        <w:tc>
          <w:tcPr>
            <w:tcW w:type="dxa" w:w="119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99.95% ± 0.00%</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21.30% ± 4.58%</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78.66% ± 4.58%</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0.388 ± 0.003</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0.781 ± 0.002</w:t>
            </w:r>
          </w:p>
        </w:tc>
      </w:tr>
      <w:tr>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PV-Vegetable</w:t>
            </w:r>
          </w:p>
        </w:tc>
        <w:tc>
          <w:tcPr>
            <w:tcW w:type="dxa" w:w="194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KMeans</w:t>
            </w:r>
          </w:p>
        </w:tc>
        <w:tc>
          <w:tcPr>
            <w:tcW w:type="dxa" w:w="119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96.18% ± 2.41%</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0.00% ± 0.00%</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96.18% ± 2.41%</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0.691 ± 0.009</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0.884 ± 0.008</w:t>
            </w:r>
          </w:p>
        </w:tc>
      </w:tr>
      <w:tr>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PV-Vegetable</w:t>
            </w:r>
          </w:p>
        </w:tc>
        <w:tc>
          <w:tcPr>
            <w:tcW w:type="dxa" w:w="194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Birch</w:t>
            </w:r>
          </w:p>
        </w:tc>
        <w:tc>
          <w:tcPr>
            <w:tcW w:type="dxa" w:w="119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96.18% ± 2.47%</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0.00% ± 0.00%</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96.18% ± 2.47%</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0.656 ± 0.030</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0.879 ± 0.009</w:t>
            </w:r>
          </w:p>
        </w:tc>
      </w:tr>
      <w:tr>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PV-Vegetable</w:t>
            </w:r>
          </w:p>
        </w:tc>
        <w:tc>
          <w:tcPr>
            <w:tcW w:type="dxa" w:w="194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Agglomerative</w:t>
            </w:r>
          </w:p>
        </w:tc>
        <w:tc>
          <w:tcPr>
            <w:tcW w:type="dxa" w:w="119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96.17% ± 2.49%</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0.00% ± 0.00%</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96.17% ± 2.49%</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0.691 ± 0.017</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0.886 ± 0.011</w:t>
            </w:r>
          </w:p>
        </w:tc>
      </w:tr>
      <w:tr>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PV-Vegetable</w:t>
            </w:r>
          </w:p>
        </w:tc>
        <w:tc>
          <w:tcPr>
            <w:tcW w:type="dxa" w:w="1944"/>
            <w:vAlign w:val="center"/>
            <w:tcBorders>
              <w:top w:val="nil"/>
              <w:left w:val="nil"/>
              <w:bottom w:val="nil"/>
              <w:right w:val="nil"/>
              <w:insideH w:val="nil"/>
              <w:insideV w:val="nil"/>
            </w:tcBorders>
            <w:tcMar>
              <w:top w:w="25" w:type="dxa"/>
              <w:left w:w="35" w:type="dxa"/>
              <w:bottom w:w="25" w:type="dxa"/>
              <w:right w:w="35" w:type="dxa"/>
            </w:tcMar>
          </w:tcPr>
          <w:p>
            <w:pPr>
              <w:spacing w:before="0" w:after="0" w:line="240" w:lineRule="auto"/>
              <w:jc w:val="left"/>
            </w:pPr>
            <w:r>
              <w:rPr>
                <w:rFonts w:ascii="Times New Roman" w:hAnsi="Times New Roman" w:eastAsia="宋体"/>
                <w:sz w:val="13"/>
              </w:rPr>
              <w:t>C2（二取三多数共识）</w:t>
            </w:r>
          </w:p>
        </w:tc>
        <w:tc>
          <w:tcPr>
            <w:tcW w:type="dxa" w:w="119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96.22% ± 2.44%</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0.23% ± 0.31%</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96.00% ± 2.62%</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0.695 ± 0.006</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0.886 ± 0.006</w:t>
            </w:r>
          </w:p>
        </w:tc>
      </w:tr>
      <w:tr>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PV-Vegetable</w:t>
            </w:r>
          </w:p>
        </w:tc>
        <w:tc>
          <w:tcPr>
            <w:tcW w:type="dxa" w:w="1944"/>
            <w:vAlign w:val="center"/>
            <w:tcBorders>
              <w:top w:val="nil"/>
              <w:left w:val="nil"/>
              <w:bottom w:val="nil"/>
              <w:right w:val="nil"/>
              <w:insideH w:val="nil"/>
              <w:insideV w:val="nil"/>
            </w:tcBorders>
            <w:tcMar>
              <w:top w:w="25" w:type="dxa"/>
              <w:left w:w="35" w:type="dxa"/>
              <w:bottom w:w="25" w:type="dxa"/>
              <w:right w:w="35" w:type="dxa"/>
            </w:tcMar>
          </w:tcPr>
          <w:p>
            <w:pPr>
              <w:spacing w:before="0" w:after="0" w:line="240" w:lineRule="auto"/>
              <w:jc w:val="left"/>
            </w:pPr>
            <w:r>
              <w:rPr>
                <w:rFonts w:ascii="Times New Roman" w:hAnsi="Times New Roman" w:eastAsia="宋体"/>
                <w:sz w:val="13"/>
              </w:rPr>
              <w:t>C3（三算法严格共识）</w:t>
            </w:r>
          </w:p>
        </w:tc>
        <w:tc>
          <w:tcPr>
            <w:tcW w:type="dxa" w:w="119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97.85% ± 2.10%</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10.01% ± 4.34%</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88.01% ± 3.34%</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0.764 ± 0.030</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0.915 ± 0.011</w:t>
            </w:r>
          </w:p>
        </w:tc>
      </w:tr>
      <w:tr>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PV-Vegetable</w:t>
            </w:r>
          </w:p>
        </w:tc>
        <w:tc>
          <w:tcPr>
            <w:tcW w:type="dxa" w:w="1944"/>
            <w:vAlign w:val="center"/>
            <w:tcBorders>
              <w:top w:val="nil"/>
              <w:left w:val="nil"/>
              <w:bottom w:val="nil"/>
              <w:right w:val="nil"/>
              <w:insideH w:val="nil"/>
              <w:insideV w:val="nil"/>
            </w:tcBorders>
            <w:tcMar>
              <w:top w:w="25" w:type="dxa"/>
              <w:left w:w="35" w:type="dxa"/>
              <w:bottom w:w="25" w:type="dxa"/>
              <w:right w:w="35" w:type="dxa"/>
            </w:tcMar>
          </w:tcPr>
          <w:p>
            <w:pPr>
              <w:spacing w:before="0" w:after="0" w:line="240" w:lineRule="auto"/>
              <w:jc w:val="left"/>
            </w:pPr>
            <w:r>
              <w:rPr>
                <w:rFonts w:ascii="Times New Roman" w:hAnsi="Times New Roman" w:eastAsia="宋体"/>
                <w:sz w:val="13"/>
              </w:rPr>
              <w:t>KMeans距离拒识</w:t>
            </w:r>
          </w:p>
        </w:tc>
        <w:tc>
          <w:tcPr>
            <w:tcW w:type="dxa" w:w="119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97.02% ± 2.75%</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10.01% ± 4.34%</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87.26% ± 3.57%</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0.796 ± 0.037</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0.913 ± 0.013</w:t>
            </w:r>
          </w:p>
        </w:tc>
      </w:tr>
      <w:tr>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PV-Vegetable</w:t>
            </w:r>
          </w:p>
        </w:tc>
        <w:tc>
          <w:tcPr>
            <w:tcW w:type="dxa" w:w="1944"/>
            <w:vAlign w:val="center"/>
            <w:tcBorders>
              <w:top w:val="nil"/>
              <w:left w:val="nil"/>
              <w:bottom w:val="nil"/>
              <w:right w:val="nil"/>
              <w:insideH w:val="nil"/>
              <w:insideV w:val="nil"/>
            </w:tcBorders>
            <w:tcMar>
              <w:top w:w="25" w:type="dxa"/>
              <w:left w:w="35" w:type="dxa"/>
              <w:bottom w:w="25" w:type="dxa"/>
              <w:right w:w="35" w:type="dxa"/>
            </w:tcMar>
          </w:tcPr>
          <w:p>
            <w:pPr>
              <w:spacing w:before="0" w:after="0" w:line="240" w:lineRule="auto"/>
              <w:jc w:val="left"/>
            </w:pPr>
            <w:r>
              <w:rPr>
                <w:rFonts w:ascii="Times New Roman" w:hAnsi="Times New Roman" w:eastAsia="宋体"/>
                <w:sz w:val="13"/>
              </w:rPr>
              <w:t>随机同覆盖率拒识</w:t>
            </w:r>
          </w:p>
        </w:tc>
        <w:tc>
          <w:tcPr>
            <w:tcW w:type="dxa" w:w="119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96.18% ± 2.41%</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10.01% ± 4.34%</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86.52% ± 3.97%</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0.690 ± 0.009</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0.884 ± 0.008</w:t>
            </w:r>
          </w:p>
        </w:tc>
      </w:tr>
      <w:tr>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MCLD-9</w:t>
            </w:r>
          </w:p>
        </w:tc>
        <w:tc>
          <w:tcPr>
            <w:tcW w:type="dxa" w:w="194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KMeans</w:t>
            </w:r>
          </w:p>
        </w:tc>
        <w:tc>
          <w:tcPr>
            <w:tcW w:type="dxa" w:w="119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87.86% ± 0.23%</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0.00% ± 0.00%</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87.86% ± 0.23%</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0.522 ± 0.010</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0.758 ± 0.007</w:t>
            </w:r>
          </w:p>
        </w:tc>
      </w:tr>
      <w:tr>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MCLD-9</w:t>
            </w:r>
          </w:p>
        </w:tc>
        <w:tc>
          <w:tcPr>
            <w:tcW w:type="dxa" w:w="194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Birch</w:t>
            </w:r>
          </w:p>
        </w:tc>
        <w:tc>
          <w:tcPr>
            <w:tcW w:type="dxa" w:w="119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87.77% ± 0.49%</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0.00% ± 0.00%</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87.77% ± 0.49%</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0.516 ± 0.004</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0.753 ± 0.003</w:t>
            </w:r>
          </w:p>
        </w:tc>
      </w:tr>
      <w:tr>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MCLD-9</w:t>
            </w:r>
          </w:p>
        </w:tc>
        <w:tc>
          <w:tcPr>
            <w:tcW w:type="dxa" w:w="194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Agglomerative</w:t>
            </w:r>
          </w:p>
        </w:tc>
        <w:tc>
          <w:tcPr>
            <w:tcW w:type="dxa" w:w="119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87.65% ± 0.32%</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0.00% ± 0.00%</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87.65% ± 0.32%</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0.525 ± 0.011</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0.759 ± 0.007</w:t>
            </w:r>
          </w:p>
        </w:tc>
      </w:tr>
      <w:tr>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MCLD-9</w:t>
            </w:r>
          </w:p>
        </w:tc>
        <w:tc>
          <w:tcPr>
            <w:tcW w:type="dxa" w:w="1944"/>
            <w:vAlign w:val="center"/>
            <w:tcBorders>
              <w:top w:val="nil"/>
              <w:left w:val="nil"/>
              <w:bottom w:val="nil"/>
              <w:right w:val="nil"/>
              <w:insideH w:val="nil"/>
              <w:insideV w:val="nil"/>
            </w:tcBorders>
            <w:tcMar>
              <w:top w:w="25" w:type="dxa"/>
              <w:left w:w="35" w:type="dxa"/>
              <w:bottom w:w="25" w:type="dxa"/>
              <w:right w:w="35" w:type="dxa"/>
            </w:tcMar>
          </w:tcPr>
          <w:p>
            <w:pPr>
              <w:spacing w:before="0" w:after="0" w:line="240" w:lineRule="auto"/>
              <w:jc w:val="left"/>
            </w:pPr>
            <w:r>
              <w:rPr>
                <w:rFonts w:ascii="Times New Roman" w:hAnsi="Times New Roman" w:eastAsia="宋体"/>
                <w:sz w:val="13"/>
              </w:rPr>
              <w:t>C2（二取三多数共识）</w:t>
            </w:r>
          </w:p>
        </w:tc>
        <w:tc>
          <w:tcPr>
            <w:tcW w:type="dxa" w:w="119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87.92% ± 0.15%</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0.17% ± 0.22%</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87.77% ± 0.29%</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0.523 ± 0.010</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0.758 ± 0.007</w:t>
            </w:r>
          </w:p>
        </w:tc>
      </w:tr>
      <w:tr>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MCLD-9</w:t>
            </w:r>
          </w:p>
        </w:tc>
        <w:tc>
          <w:tcPr>
            <w:tcW w:type="dxa" w:w="1944"/>
            <w:vAlign w:val="center"/>
            <w:tcBorders>
              <w:top w:val="nil"/>
              <w:left w:val="nil"/>
              <w:bottom w:val="nil"/>
              <w:right w:val="nil"/>
              <w:insideH w:val="nil"/>
              <w:insideV w:val="nil"/>
            </w:tcBorders>
            <w:tcMar>
              <w:top w:w="25" w:type="dxa"/>
              <w:left w:w="35" w:type="dxa"/>
              <w:bottom w:w="25" w:type="dxa"/>
              <w:right w:w="35" w:type="dxa"/>
            </w:tcMar>
          </w:tcPr>
          <w:p>
            <w:pPr>
              <w:spacing w:before="0" w:after="0" w:line="240" w:lineRule="auto"/>
              <w:jc w:val="left"/>
            </w:pPr>
            <w:r>
              <w:rPr>
                <w:rFonts w:ascii="Times New Roman" w:hAnsi="Times New Roman" w:eastAsia="宋体"/>
                <w:sz w:val="13"/>
              </w:rPr>
              <w:t>C3（三算法严格共识）</w:t>
            </w:r>
          </w:p>
        </w:tc>
        <w:tc>
          <w:tcPr>
            <w:tcW w:type="dxa" w:w="119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90.72% ± 1.49%</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9.39% ± 5.04%</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82.14% ± 3.23%</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0.578 ± 0.039</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0.782 ± 0.019</w:t>
            </w:r>
          </w:p>
        </w:tc>
      </w:tr>
      <w:tr>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MCLD-9</w:t>
            </w:r>
          </w:p>
        </w:tc>
        <w:tc>
          <w:tcPr>
            <w:tcW w:type="dxa" w:w="1944"/>
            <w:vAlign w:val="center"/>
            <w:tcBorders>
              <w:top w:val="nil"/>
              <w:left w:val="nil"/>
              <w:bottom w:val="nil"/>
              <w:right w:val="nil"/>
              <w:insideH w:val="nil"/>
              <w:insideV w:val="nil"/>
            </w:tcBorders>
            <w:tcMar>
              <w:top w:w="25" w:type="dxa"/>
              <w:left w:w="35" w:type="dxa"/>
              <w:bottom w:w="25" w:type="dxa"/>
              <w:right w:w="35" w:type="dxa"/>
            </w:tcMar>
          </w:tcPr>
          <w:p>
            <w:pPr>
              <w:spacing w:before="0" w:after="0" w:line="240" w:lineRule="auto"/>
              <w:jc w:val="left"/>
            </w:pPr>
            <w:r>
              <w:rPr>
                <w:rFonts w:ascii="Times New Roman" w:hAnsi="Times New Roman" w:eastAsia="宋体"/>
                <w:sz w:val="13"/>
              </w:rPr>
              <w:t>KMeans距离拒识</w:t>
            </w:r>
          </w:p>
        </w:tc>
        <w:tc>
          <w:tcPr>
            <w:tcW w:type="dxa" w:w="119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89.25% ± 0.85%</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9.39% ± 5.04%</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80.84% ± 3.81%</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0.545 ± 0.016</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0.770 ± 0.010</w:t>
            </w:r>
          </w:p>
        </w:tc>
      </w:tr>
      <w:tr>
        <w:tc>
          <w:tcPr>
            <w:tcW w:type="dxa" w:w="1094"/>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MCLD-9</w:t>
            </w:r>
          </w:p>
        </w:tc>
        <w:tc>
          <w:tcPr>
            <w:tcW w:type="dxa" w:w="1944"/>
            <w:vAlign w:val="center"/>
            <w:tcBorders>
              <w:top w:val="nil"/>
              <w:left w:val="nil"/>
              <w:bottom w:val="single" w:sz="8" w:color="000000"/>
              <w:right w:val="nil"/>
              <w:insideH w:val="nil"/>
              <w:insideV w:val="nil"/>
            </w:tcBorders>
            <w:tcMar>
              <w:top w:w="25" w:type="dxa"/>
              <w:left w:w="35" w:type="dxa"/>
              <w:bottom w:w="25" w:type="dxa"/>
              <w:right w:w="35" w:type="dxa"/>
            </w:tcMar>
          </w:tcPr>
          <w:p>
            <w:pPr>
              <w:spacing w:before="0" w:after="0" w:line="240" w:lineRule="auto"/>
              <w:jc w:val="left"/>
            </w:pPr>
            <w:r>
              <w:rPr>
                <w:rFonts w:ascii="Times New Roman" w:hAnsi="Times New Roman" w:eastAsia="宋体"/>
                <w:sz w:val="13"/>
              </w:rPr>
              <w:t>随机同覆盖率拒识</w:t>
            </w:r>
          </w:p>
        </w:tc>
        <w:tc>
          <w:tcPr>
            <w:tcW w:type="dxa" w:w="1195"/>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87.85% ± 0.23%</w:t>
            </w:r>
          </w:p>
        </w:tc>
        <w:tc>
          <w:tcPr>
            <w:tcW w:type="dxa" w:w="1037"/>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9.39% ± 5.04%</w:t>
            </w:r>
          </w:p>
        </w:tc>
        <w:tc>
          <w:tcPr>
            <w:tcW w:type="dxa" w:w="1469"/>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79.60% ± 4.51%</w:t>
            </w:r>
          </w:p>
        </w:tc>
        <w:tc>
          <w:tcPr>
            <w:tcW w:type="dxa" w:w="1051"/>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0.522 ± 0.010</w:t>
            </w:r>
          </w:p>
        </w:tc>
        <w:tc>
          <w:tcPr>
            <w:tcW w:type="dxa" w:w="1051"/>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0.758 ± 0.007</w:t>
            </w:r>
          </w:p>
        </w:tc>
      </w:tr>
    </w:tbl>
    <w:p>
      <w:pPr>
        <w:pStyle w:val="BodyText"/>
        <w:jc w:val="both"/>
      </w:pPr>
      <w:r>
        <w:rPr>
          <w:rFonts w:ascii="Times New Roman" w:hAnsi="Times New Roman" w:eastAsia="宋体"/>
          <w:i w:val="0"/>
          <w:sz w:val="21"/>
        </w:rPr>
        <w:t>PV-Fruit中各单算法和共识策略的Acc_kept均接近99.95%，C3主要增加拒识而非提升准确率。PV-Vegetable中C3相对于KMeans将Acc_kept从96.18%提高至97.85%；MCLD-9中C3相对于KMeans、C2、距离拒识和随机同覆盖率拒识均获得更高Acc_kept。与此同时，选择性方法的保守全样本准确率通常低于全覆盖KMeans，说明C3优化的是保留样本质量而非全样本覆盖。</w:t>
      </w:r>
    </w:p>
    <w:p>
      <w:pPr>
        <w:pStyle w:val="Heading2"/>
        <w:keepNext/>
      </w:pPr>
      <w:r>
        <w:rPr>
          <w:rFonts w:ascii="Arial" w:hAnsi="Arial" w:eastAsia="黑体"/>
          <w:b/>
          <w:sz w:val="26"/>
        </w:rPr>
        <w:t>4.3 全部样本与保留样本的结构指标</w:t>
      </w:r>
    </w:p>
    <w:p>
      <w:pPr>
        <w:pStyle w:val="Caption"/>
        <w:keepNext w:val="0"/>
        <w:jc w:val="center"/>
      </w:pPr>
      <w:r>
        <w:rPr>
          <w:rFonts w:ascii="Times New Roman" w:hAnsi="Times New Roman" w:eastAsia="宋体"/>
          <w:b w:val="0"/>
          <w:sz w:val="18"/>
        </w:rPr>
        <w:t>表4  全部样本与C3保留样本的聚类结构指标。</w:t>
      </w:r>
    </w:p>
    <w:tbl>
      <w:tblPr>
        <w:tblW w:type="auto" w:w="0"/>
        <w:jc w:val="center"/>
        <w:tblLayout w:type="fixed"/>
        <w:tblLook w:firstColumn="1" w:firstRow="1" w:lastColumn="0" w:lastRow="0" w:noHBand="0" w:noVBand="1" w:val="04A0"/>
      </w:tblPr>
      <w:tblGrid>
        <w:gridCol w:w="1328"/>
        <w:gridCol w:w="1328"/>
        <w:gridCol w:w="1328"/>
        <w:gridCol w:w="1328"/>
        <w:gridCol w:w="1328"/>
        <w:gridCol w:w="1328"/>
        <w:gridCol w:w="1328"/>
      </w:tblGrid>
      <w:tr>
        <w:trPr>
          <w:tblHeader w:val="true"/>
        </w:trPr>
        <w:tc>
          <w:tcPr>
            <w:tcW w:type="dxa" w:w="1181"/>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数据集</w:t>
            </w:r>
          </w:p>
        </w:tc>
        <w:tc>
          <w:tcPr>
            <w:tcW w:type="dxa" w:w="1066"/>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ARI_all</w:t>
            </w:r>
          </w:p>
        </w:tc>
        <w:tc>
          <w:tcPr>
            <w:tcW w:type="dxa" w:w="1066"/>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ARI_kept</w:t>
            </w:r>
          </w:p>
        </w:tc>
        <w:tc>
          <w:tcPr>
            <w:tcW w:type="dxa" w:w="1066"/>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NMI_all</w:t>
            </w:r>
          </w:p>
        </w:tc>
        <w:tc>
          <w:tcPr>
            <w:tcW w:type="dxa" w:w="1066"/>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NMI_kept</w:t>
            </w:r>
          </w:p>
        </w:tc>
        <w:tc>
          <w:tcPr>
            <w:tcW w:type="dxa" w:w="1066"/>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AMI_all</w:t>
            </w:r>
          </w:p>
        </w:tc>
        <w:tc>
          <w:tcPr>
            <w:tcW w:type="dxa" w:w="1066"/>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AMI_kept</w:t>
            </w:r>
          </w:p>
        </w:tc>
      </w:tr>
      <w:tr>
        <w:tc>
          <w:tcPr>
            <w:tcW w:type="dxa" w:w="118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PV-Fruit</w:t>
            </w:r>
          </w:p>
        </w:tc>
        <w:tc>
          <w:tcPr>
            <w:tcW w:type="dxa" w:w="106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0.389 ± 0.004</w:t>
            </w:r>
          </w:p>
        </w:tc>
        <w:tc>
          <w:tcPr>
            <w:tcW w:type="dxa" w:w="106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0.517 ± 0.047</w:t>
            </w:r>
          </w:p>
        </w:tc>
        <w:tc>
          <w:tcPr>
            <w:tcW w:type="dxa" w:w="106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0.781 ± 0.002</w:t>
            </w:r>
          </w:p>
        </w:tc>
        <w:tc>
          <w:tcPr>
            <w:tcW w:type="dxa" w:w="106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0.827 ± 0.015</w:t>
            </w:r>
          </w:p>
        </w:tc>
        <w:tc>
          <w:tcPr>
            <w:tcW w:type="dxa" w:w="106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0.781 ± 0.002</w:t>
            </w:r>
          </w:p>
        </w:tc>
        <w:tc>
          <w:tcPr>
            <w:tcW w:type="dxa" w:w="106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0.827 ± 0.015</w:t>
            </w:r>
          </w:p>
        </w:tc>
      </w:tr>
      <w:tr>
        <w:tc>
          <w:tcPr>
            <w:tcW w:type="dxa" w:w="118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PV-Vegetable</w:t>
            </w:r>
          </w:p>
        </w:tc>
        <w:tc>
          <w:tcPr>
            <w:tcW w:type="dxa" w:w="106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0.691 ± 0.009</w:t>
            </w:r>
          </w:p>
        </w:tc>
        <w:tc>
          <w:tcPr>
            <w:tcW w:type="dxa" w:w="106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0.764 ± 0.030</w:t>
            </w:r>
          </w:p>
        </w:tc>
        <w:tc>
          <w:tcPr>
            <w:tcW w:type="dxa" w:w="106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0.884 ± 0.007</w:t>
            </w:r>
          </w:p>
        </w:tc>
        <w:tc>
          <w:tcPr>
            <w:tcW w:type="dxa" w:w="106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0.915 ± 0.011</w:t>
            </w:r>
          </w:p>
        </w:tc>
        <w:tc>
          <w:tcPr>
            <w:tcW w:type="dxa" w:w="106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0.884 ± 0.007</w:t>
            </w:r>
          </w:p>
        </w:tc>
        <w:tc>
          <w:tcPr>
            <w:tcW w:type="dxa" w:w="106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0.914 ± 0.011</w:t>
            </w:r>
          </w:p>
        </w:tc>
      </w:tr>
      <w:tr>
        <w:tc>
          <w:tcPr>
            <w:tcW w:type="dxa" w:w="118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MCLD-9</w:t>
            </w:r>
          </w:p>
        </w:tc>
        <w:tc>
          <w:tcPr>
            <w:tcW w:type="dxa" w:w="106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0.522 ± 0.010</w:t>
            </w:r>
          </w:p>
        </w:tc>
        <w:tc>
          <w:tcPr>
            <w:tcW w:type="dxa" w:w="106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0.578 ± 0.039</w:t>
            </w:r>
          </w:p>
        </w:tc>
        <w:tc>
          <w:tcPr>
            <w:tcW w:type="dxa" w:w="106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0.758 ± 0.006</w:t>
            </w:r>
          </w:p>
        </w:tc>
        <w:tc>
          <w:tcPr>
            <w:tcW w:type="dxa" w:w="106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0.782 ± 0.019</w:t>
            </w:r>
          </w:p>
        </w:tc>
        <w:tc>
          <w:tcPr>
            <w:tcW w:type="dxa" w:w="106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0.756 ± 0.006</w:t>
            </w:r>
          </w:p>
        </w:tc>
        <w:tc>
          <w:tcPr>
            <w:tcW w:type="dxa" w:w="106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0.780 ± 0.019</w:t>
            </w:r>
          </w:p>
        </w:tc>
      </w:tr>
      <w:tr>
        <w:tc>
          <w:tcPr>
            <w:tcW w:type="dxa" w:w="1181"/>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DFLD-BR-4</w:t>
            </w:r>
          </w:p>
        </w:tc>
        <w:tc>
          <w:tcPr>
            <w:tcW w:type="dxa" w:w="1066"/>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0.286 ± 0.006</w:t>
            </w:r>
          </w:p>
        </w:tc>
        <w:tc>
          <w:tcPr>
            <w:tcW w:type="dxa" w:w="1066"/>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0.343 ± 0.012</w:t>
            </w:r>
          </w:p>
        </w:tc>
        <w:tc>
          <w:tcPr>
            <w:tcW w:type="dxa" w:w="1066"/>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0.629 ± 0.003</w:t>
            </w:r>
          </w:p>
        </w:tc>
        <w:tc>
          <w:tcPr>
            <w:tcW w:type="dxa" w:w="1066"/>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0.657 ± 0.006</w:t>
            </w:r>
          </w:p>
        </w:tc>
        <w:tc>
          <w:tcPr>
            <w:tcW w:type="dxa" w:w="1066"/>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0.628 ± 0.003</w:t>
            </w:r>
          </w:p>
        </w:tc>
        <w:tc>
          <w:tcPr>
            <w:tcW w:type="dxa" w:w="1066"/>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0.655 ± 0.006</w:t>
            </w:r>
          </w:p>
        </w:tc>
      </w:tr>
    </w:tbl>
    <w:p>
      <w:pPr>
        <w:pStyle w:val="BodyText"/>
        <w:jc w:val="both"/>
      </w:pPr>
      <w:r>
        <w:rPr>
          <w:rFonts w:ascii="Times New Roman" w:hAnsi="Times New Roman" w:eastAsia="宋体"/>
          <w:i w:val="0"/>
          <w:sz w:val="21"/>
        </w:rPr>
        <w:t>C3筛选后，PV-Fruit的ARI由0.389提高至0.517，PV-Vegetable由0.691提高至0.764，MCLD-9由0.522提高至0.578，NMI和AMI呈一致改善。PV-Fruit的Homogeneity接近1而Completeness明显较低，说明K=20将同一病害拆分为多个高纯度子簇；因此Acc_kept接近100%并不等同于恢复“一类一簇”结构。</w:t>
      </w:r>
    </w:p>
    <w:p>
      <w:pPr>
        <w:keepNext/>
        <w:spacing w:after="40"/>
        <w:ind w:firstLine="0"/>
        <w:jc w:val="center"/>
      </w:pPr>
      <w:r>
        <w:drawing>
          <wp:inline xmlns:a="http://schemas.openxmlformats.org/drawingml/2006/main" xmlns:pic="http://schemas.openxmlformats.org/drawingml/2006/picture">
            <wp:extent cx="5806440" cy="2663699"/>
            <wp:docPr id="24" name="Figure 4" title="Figure 4" descr="Dumbbell plots comparing ARI, NMI and AMI on all samples versus C3-retained samples across datasets."/>
            <wp:cNvGraphicFramePr>
              <a:graphicFrameLocks noChangeAspect="1"/>
            </wp:cNvGraphicFramePr>
            <a:graphic>
              <a:graphicData uri="http://schemas.openxmlformats.org/drawingml/2006/picture">
                <pic:pic>
                  <pic:nvPicPr>
                    <pic:cNvPr id="0" name="Fig04_All_vs_Retained_Clustering_Metrics.png"/>
                    <pic:cNvPicPr/>
                  </pic:nvPicPr>
                  <pic:blipFill>
                    <a:blip r:embed="rId34"/>
                    <a:stretch>
                      <a:fillRect/>
                    </a:stretch>
                  </pic:blipFill>
                  <pic:spPr>
                    <a:xfrm>
                      <a:off x="0" y="0"/>
                      <a:ext cx="5806440" cy="2663699"/>
                    </a:xfrm>
                    <a:prstGeom prst="rect"/>
                  </pic:spPr>
                </pic:pic>
              </a:graphicData>
            </a:graphic>
          </wp:inline>
        </w:drawing>
      </w:r>
    </w:p>
    <w:p>
      <w:pPr>
        <w:pStyle w:val="Caption"/>
        <w:keepNext w:val="0"/>
        <w:spacing w:before="60" w:after="160"/>
        <w:jc w:val="center"/>
      </w:pPr>
      <w:r>
        <w:rPr>
          <w:sz w:val="18"/>
        </w:rPr>
        <w:t>图4  全部样本与C3保留样本的ARI、NMI和AMI对比。连线展示同一数据集筛选前后的指标变化。</w:t>
      </w:r>
    </w:p>
    <w:p>
      <w:pPr>
        <w:pStyle w:val="Heading2"/>
        <w:keepNext/>
      </w:pPr>
      <w:r>
        <w:rPr>
          <w:rFonts w:ascii="Arial" w:hAnsi="Arial" w:eastAsia="黑体"/>
          <w:b/>
          <w:sz w:val="26"/>
        </w:rPr>
        <w:t>4.4 公平降维对照</w:t>
      </w:r>
    </w:p>
    <w:p>
      <w:pPr>
        <w:pStyle w:val="Caption"/>
        <w:keepNext w:val="0"/>
        <w:jc w:val="center"/>
      </w:pPr>
      <w:r>
        <w:rPr>
          <w:rFonts w:ascii="Times New Roman" w:hAnsi="Times New Roman" w:eastAsia="宋体"/>
          <w:b w:val="0"/>
          <w:sz w:val="18"/>
        </w:rPr>
        <w:t>表5  Raw、PCA与UMAP的公平降维对照。</w:t>
      </w:r>
    </w:p>
    <w:tbl>
      <w:tblPr>
        <w:tblW w:type="auto" w:w="0"/>
        <w:jc w:val="center"/>
        <w:tblLayout w:type="fixed"/>
        <w:tblLook w:firstColumn="1" w:firstRow="1" w:lastColumn="0" w:lastRow="0" w:noHBand="0" w:noVBand="1" w:val="04A0"/>
      </w:tblPr>
      <w:tblGrid>
        <w:gridCol w:w="1328"/>
        <w:gridCol w:w="1328"/>
        <w:gridCol w:w="1328"/>
        <w:gridCol w:w="1328"/>
        <w:gridCol w:w="1328"/>
        <w:gridCol w:w="1328"/>
        <w:gridCol w:w="1328"/>
      </w:tblGrid>
      <w:tr>
        <w:trPr>
          <w:tblHeader w:val="true"/>
        </w:trPr>
        <w:tc>
          <w:tcPr>
            <w:tcW w:type="dxa" w:w="1123"/>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数据集</w:t>
            </w:r>
          </w:p>
        </w:tc>
        <w:tc>
          <w:tcPr>
            <w:tcW w:type="dxa" w:w="1123"/>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表示</w:t>
            </w:r>
          </w:p>
        </w:tc>
        <w:tc>
          <w:tcPr>
            <w:tcW w:type="dxa" w:w="1123"/>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t>Acc_kept</w:t>
            </w:r>
          </w:p>
        </w:tc>
        <w:tc>
          <w:tcPr>
            <w:tcW w:type="dxa" w:w="1123"/>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before="0" w:after="0" w:line="240" w:lineRule="auto"/>
              <w:jc w:val="center"/>
            </w:pPr>
            <w:r>
              <w:rPr>
                <w:rFonts w:ascii="Times New Roman" w:hAnsi="Times New Roman" w:eastAsia="宋体"/>
                <w:b/>
                <w:sz w:val="15"/>
              </w:rPr>
              <w:t>Coverage</w:t>
            </w:r>
          </w:p>
        </w:tc>
        <w:tc>
          <w:tcPr>
            <w:tcW w:type="dxa" w:w="1469"/>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保守全样本准确率</w:t>
            </w:r>
          </w:p>
        </w:tc>
        <w:tc>
          <w:tcPr>
            <w:tcW w:type="dxa" w:w="1037"/>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ARI_kept</w:t>
            </w:r>
          </w:p>
        </w:tc>
        <w:tc>
          <w:tcPr>
            <w:tcW w:type="dxa" w:w="1037"/>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NMI_kept</w:t>
            </w:r>
          </w:p>
        </w:tc>
      </w:tr>
      <w:tr>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PV-Fruit</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Raw 2048D</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99.98% ± 0.00%</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78.83% ± 4.36%</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78.82% ± 4.36%</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0.449 ± 0.033</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0.804 ± 0.010</w:t>
            </w:r>
          </w:p>
        </w:tc>
      </w:tr>
      <w:tr>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PV-Fruit</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PCA 100D</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99.83% ± 0.06%</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74.60% ± 4.51%</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74.48% ± 4.53%</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0.493 ± 0.038</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0.813 ± 0.011</w:t>
            </w:r>
          </w:p>
        </w:tc>
      </w:tr>
      <w:tr>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PV-Fruit</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UMAP 100D</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99.73% ± 0.04%</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75.24% ± 5.11%</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75.04% ± 5.12%</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0.447 ± 0.016</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0.803 ± 0.003</w:t>
            </w:r>
          </w:p>
        </w:tc>
      </w:tr>
      <w:tr>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DFLD-BR-4</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Raw 2048D</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99.97% ± 0.02%</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66.08% ± 3.18%</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66.06% ± 3.17%</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0.373 ± 0.018</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0.668 ± 0.008</w:t>
            </w:r>
          </w:p>
        </w:tc>
      </w:tr>
      <w:tr>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DFLD-BR-4</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PCA 100D</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99.95% ± 0.05%</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68.74% ± 2.19%</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68.71% ± 2.21%</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0.370 ± 0.010</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0.667 ± 0.005</w:t>
            </w:r>
          </w:p>
        </w:tc>
      </w:tr>
      <w:tr>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DFLD-BR-4</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UMAP 100D</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99.86% ± 0.05%</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76.10% ± 5.52%</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75.99% ± 5.50%</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0.343 ± 0.012</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0.657 ± 0.006</w:t>
            </w:r>
          </w:p>
        </w:tc>
      </w:tr>
      <w:tr>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MCLD-9</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Raw 2048D</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90.28% ± 1.12%</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77.22% ± 2.84%</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69.71% ± 2.54%</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0.563 ± 0.030</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0.782 ± 0.010</w:t>
            </w:r>
          </w:p>
        </w:tc>
      </w:tr>
      <w:tr>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MCLD-9</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PCA 100D</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88.54% ± 1.48%</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76.19% ± 2.89%</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67.47% ± 3.01%</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0.562 ± 0.022</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0.778 ± 0.008</w:t>
            </w:r>
          </w:p>
        </w:tc>
      </w:tr>
      <w:tr>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MCLD-9</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UMAP 100D</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90.72% ± 1.48%</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90.61% ± 5.05%</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82.14% ± 3.23%</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0.578 ± 0.039</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0.782 ± 0.019</w:t>
            </w:r>
          </w:p>
        </w:tc>
      </w:tr>
      <w:tr>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PV-Vegetable</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Raw 2048D</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97.84% ± 0.39%</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74.03% ± 4.03%</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72.42% ± 3.82%</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0.722 ± 0.023</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0.894 ± 0.010</w:t>
            </w:r>
          </w:p>
        </w:tc>
      </w:tr>
      <w:tr>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PV-Vegetable</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PCA 100D</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95.87% ± 0.88%</w:t>
            </w:r>
          </w:p>
        </w:tc>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75.28% ± 2.27%</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72.16% ± 1.96%</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0.689 ± 0.037</w:t>
            </w:r>
          </w:p>
        </w:tc>
        <w:tc>
          <w:tcPr>
            <w:tcW w:type="dxa" w:w="103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0.873 ± 0.015</w:t>
            </w:r>
          </w:p>
        </w:tc>
      </w:tr>
      <w:tr>
        <w:tc>
          <w:tcPr>
            <w:tcW w:type="dxa" w:w="1123"/>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PV-Vegetable</w:t>
            </w:r>
          </w:p>
        </w:tc>
        <w:tc>
          <w:tcPr>
            <w:tcW w:type="dxa" w:w="1123"/>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UMAP 100D</w:t>
            </w:r>
          </w:p>
        </w:tc>
        <w:tc>
          <w:tcPr>
            <w:tcW w:type="dxa" w:w="1123"/>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98.12% ± 0.47%</w:t>
            </w:r>
          </w:p>
        </w:tc>
        <w:tc>
          <w:tcPr>
            <w:tcW w:type="dxa" w:w="1123"/>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86.84% ± 2.45%</w:t>
            </w:r>
          </w:p>
        </w:tc>
        <w:tc>
          <w:tcPr>
            <w:tcW w:type="dxa" w:w="1469"/>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85.20% ± 2.40%</w:t>
            </w:r>
          </w:p>
        </w:tc>
        <w:tc>
          <w:tcPr>
            <w:tcW w:type="dxa" w:w="1037"/>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0.632 ± 0.035</w:t>
            </w:r>
          </w:p>
        </w:tc>
        <w:tc>
          <w:tcPr>
            <w:tcW w:type="dxa" w:w="1037"/>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0.872 ± 0.005</w:t>
            </w:r>
          </w:p>
        </w:tc>
      </w:tr>
    </w:tbl>
    <w:p>
      <w:pPr>
        <w:pStyle w:val="BodyText"/>
        <w:jc w:val="both"/>
      </w:pPr>
      <w:r>
        <w:rPr>
          <w:rFonts w:ascii="Times New Roman" w:hAnsi="Times New Roman" w:eastAsia="宋体"/>
          <w:i w:val="0"/>
          <w:sz w:val="21"/>
        </w:rPr>
        <w:t>UMAP在PV-Vegetable和MCLD-9上明显提高覆盖率和保守全样本准确率，但并非在所有结构指标上全面领先。例如PV-Vegetable的Raw特征ARI_kept高于UMAP，而PV-Fruit中Raw的保守全样本准确率略高。UMAP的主要优势应解释为复杂数据中的局部结构压缩与质量—覆盖率平衡，而不是对全部数据和全部指标的普遍优势。</w:t>
      </w:r>
    </w:p>
    <w:p>
      <w:pPr>
        <w:keepNext/>
        <w:spacing w:after="40"/>
        <w:ind w:firstLine="0"/>
        <w:jc w:val="center"/>
      </w:pPr>
      <w:r>
        <w:drawing>
          <wp:inline xmlns:a="http://schemas.openxmlformats.org/drawingml/2006/main" xmlns:pic="http://schemas.openxmlformats.org/drawingml/2006/picture">
            <wp:extent cx="5760720" cy="4414942"/>
            <wp:docPr id="25" name="Figure 5" title="Figure 5" descr="Four-panel Acc_kept versus Coverage comparison of Raw, PCA 100-D and UMAP 100-D representations."/>
            <wp:cNvGraphicFramePr>
              <a:graphicFrameLocks noChangeAspect="1"/>
            </wp:cNvGraphicFramePr>
            <a:graphic>
              <a:graphicData uri="http://schemas.openxmlformats.org/drawingml/2006/picture">
                <pic:pic>
                  <pic:nvPicPr>
                    <pic:cNvPr id="0" name="Fig05_Fair_Dimensionality_Reduction.png"/>
                    <pic:cNvPicPr/>
                  </pic:nvPicPr>
                  <pic:blipFill>
                    <a:blip r:embed="rId35"/>
                    <a:stretch>
                      <a:fillRect/>
                    </a:stretch>
                  </pic:blipFill>
                  <pic:spPr>
                    <a:xfrm>
                      <a:off x="0" y="0"/>
                      <a:ext cx="5760720" cy="4414942"/>
                    </a:xfrm>
                    <a:prstGeom prst="rect"/>
                  </pic:spPr>
                </pic:pic>
              </a:graphicData>
            </a:graphic>
          </wp:inline>
        </w:drawing>
      </w:r>
    </w:p>
    <w:p>
      <w:pPr>
        <w:pStyle w:val="Caption"/>
        <w:keepNext w:val="0"/>
        <w:spacing w:before="60" w:after="160"/>
        <w:jc w:val="center"/>
      </w:pPr>
      <w:r>
        <w:rPr>
          <w:sz w:val="18"/>
        </w:rPr>
        <w:t>图5  Raw、PCA 100维与UMAP 100维的公平降维比较。横轴为Coverage，纵轴为Acc_kept；PV-Fruit和PV-Vegetable使用固定6000张公平子集。</w:t>
      </w:r>
    </w:p>
    <w:p>
      <w:pPr>
        <w:pStyle w:val="Heading2"/>
        <w:keepNext/>
      </w:pPr>
      <w:r>
        <w:rPr>
          <w:rFonts w:ascii="Arial" w:hAnsi="Arial" w:eastAsia="黑体"/>
          <w:b/>
          <w:sz w:val="26"/>
        </w:rPr>
        <w:t>4.5 参数敏感性</w:t>
      </w:r>
    </w:p>
    <w:p>
      <w:pPr>
        <w:pStyle w:val="BodyText"/>
        <w:jc w:val="both"/>
      </w:pPr>
      <w:r>
        <w:rPr>
          <w:rFonts w:ascii="Times New Roman" w:hAnsi="Times New Roman" w:eastAsia="宋体"/>
          <w:i w:val="0"/>
          <w:sz w:val="21"/>
        </w:rPr>
        <w:t>参数敏感性显示，Acc_kept、覆盖率与结构指标之间存在明显权衡。PV-Fruit在200维、K=15时保守全样本准确率高于统一主配置；PV-Vegetable在K=15时覆盖率接近99%，但Acc_kept低于K=20；MCLD-9在K=30时Acc_kept提高至93.53%，同时拒识率升高且ARI_kept下降。为减少依据真实标签指标对单个数据集调参的自由度，本文仍采用UMAP 100维和K=20作为跨数据集统一配置。</w:t>
      </w:r>
    </w:p>
    <w:p>
      <w:pPr>
        <w:keepNext/>
        <w:spacing w:after="40"/>
        <w:ind w:firstLine="0"/>
        <w:jc w:val="center"/>
      </w:pPr>
      <w:r>
        <w:drawing>
          <wp:inline xmlns:a="http://schemas.openxmlformats.org/drawingml/2006/main" xmlns:pic="http://schemas.openxmlformats.org/drawingml/2006/picture">
            <wp:extent cx="5852160" cy="2466420"/>
            <wp:docPr id="26" name="Figure 6" title="Figure 6" descr="Heatmaps of conservative overall accuracy across UMAP dimensions and cluster numbers, with the unified 100-D and K=20 setting outlined."/>
            <wp:cNvGraphicFramePr>
              <a:graphicFrameLocks noChangeAspect="1"/>
            </wp:cNvGraphicFramePr>
            <a:graphic>
              <a:graphicData uri="http://schemas.openxmlformats.org/drawingml/2006/picture">
                <pic:pic>
                  <pic:nvPicPr>
                    <pic:cNvPr id="0" name="Fig06_Parameter_Sensitivity.png"/>
                    <pic:cNvPicPr/>
                  </pic:nvPicPr>
                  <pic:blipFill>
                    <a:blip r:embed="rId36"/>
                    <a:stretch>
                      <a:fillRect/>
                    </a:stretch>
                  </pic:blipFill>
                  <pic:spPr>
                    <a:xfrm>
                      <a:off x="0" y="0"/>
                      <a:ext cx="5852160" cy="2466420"/>
                    </a:xfrm>
                    <a:prstGeom prst="rect"/>
                  </pic:spPr>
                </pic:pic>
              </a:graphicData>
            </a:graphic>
          </wp:inline>
        </w:drawing>
      </w:r>
    </w:p>
    <w:p>
      <w:pPr>
        <w:pStyle w:val="Caption"/>
        <w:keepNext w:val="0"/>
        <w:spacing w:before="60" w:after="160"/>
        <w:jc w:val="center"/>
      </w:pPr>
      <w:r>
        <w:rPr>
          <w:sz w:val="18"/>
        </w:rPr>
        <w:t>图6  UMAP维度与聚类簇数的参数敏感性。单元格为保守全样本准确率（%），红色边框表示跨数据集统一主配置UMAP 100维、K=20。</w:t>
      </w:r>
    </w:p>
    <w:p>
      <w:pPr>
        <w:pStyle w:val="Heading2"/>
        <w:keepNext/>
      </w:pPr>
      <w:r>
        <w:rPr>
          <w:rFonts w:ascii="Arial" w:hAnsi="Arial" w:eastAsia="黑体"/>
          <w:b/>
          <w:sz w:val="26"/>
        </w:rPr>
        <w:t>4.6 主设置下的种子级配对Bootstrap</w:t>
      </w:r>
    </w:p>
    <w:p>
      <w:pPr>
        <w:pStyle w:val="Caption"/>
        <w:keepNext w:val="0"/>
        <w:jc w:val="center"/>
      </w:pPr>
      <w:r>
        <w:rPr>
          <w:rFonts w:ascii="Times New Roman" w:hAnsi="Times New Roman" w:eastAsia="宋体"/>
          <w:b w:val="0"/>
          <w:sz w:val="18"/>
        </w:rPr>
        <w:t>表6  主ConvNeXt设置下C3相对主要基线的种子级配对Bootstrap。</w:t>
      </w:r>
    </w:p>
    <w:tbl>
      <w:tblPr>
        <w:tblW w:type="auto" w:w="0"/>
        <w:jc w:val="center"/>
        <w:tblLayout w:type="fixed"/>
        <w:tblLook w:firstColumn="1" w:firstRow="1" w:lastColumn="0" w:lastRow="0" w:noHBand="0" w:noVBand="1" w:val="04A0"/>
      </w:tblPr>
      <w:tblGrid>
        <w:gridCol w:w="1860"/>
        <w:gridCol w:w="1860"/>
        <w:gridCol w:w="1860"/>
        <w:gridCol w:w="1860"/>
        <w:gridCol w:w="1860"/>
      </w:tblGrid>
      <w:tr>
        <w:trPr>
          <w:tblHeader w:val="true"/>
        </w:trPr>
        <w:tc>
          <w:tcPr>
            <w:tcW w:type="dxa" w:w="1325"/>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数据集</w:t>
            </w:r>
          </w:p>
        </w:tc>
        <w:tc>
          <w:tcPr>
            <w:tcW w:type="dxa" w:w="2621"/>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比较</w:t>
            </w:r>
          </w:p>
        </w:tc>
        <w:tc>
          <w:tcPr>
            <w:tcW w:type="dxa" w:w="1267"/>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t>ΔAcc_kept</w:t>
            </w:r>
          </w:p>
        </w:tc>
        <w:tc>
          <w:tcPr>
            <w:tcW w:type="dxa" w:w="1901"/>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95% CI (pp)</w:t>
            </w:r>
          </w:p>
        </w:tc>
        <w:tc>
          <w:tcPr>
            <w:tcW w:type="dxa" w:w="979"/>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CI不跨0</w:t>
            </w:r>
          </w:p>
        </w:tc>
      </w:tr>
      <w:tr>
        <w:tc>
          <w:tcPr>
            <w:tcW w:type="dxa" w:w="132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PV-Vegetable</w:t>
            </w:r>
          </w:p>
        </w:tc>
        <w:tc>
          <w:tcPr>
            <w:tcW w:type="dxa" w:w="2621"/>
            <w:vAlign w:val="center"/>
            <w:tcBorders>
              <w:top w:val="nil"/>
              <w:left w:val="nil"/>
              <w:bottom w:val="nil"/>
              <w:right w:val="nil"/>
              <w:insideH w:val="nil"/>
              <w:insideV w:val="nil"/>
            </w:tcBorders>
            <w:tcMar>
              <w:top w:w="25" w:type="dxa"/>
              <w:left w:w="35" w:type="dxa"/>
              <w:bottom w:w="25" w:type="dxa"/>
              <w:right w:w="35" w:type="dxa"/>
            </w:tcMar>
          </w:tcPr>
          <w:p>
            <w:pPr>
              <w:spacing w:before="0" w:after="0" w:line="240" w:lineRule="auto"/>
              <w:jc w:val="left"/>
            </w:pPr>
            <w:r>
              <w:rPr>
                <w:rFonts w:ascii="Times New Roman" w:hAnsi="Times New Roman" w:eastAsia="宋体"/>
                <w:sz w:val="14"/>
              </w:rPr>
              <w:t>C3 − 随机同覆盖率</w:t>
            </w:r>
          </w:p>
        </w:tc>
        <w:tc>
          <w:tcPr>
            <w:tcW w:type="dxa" w:w="126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1.66 pp</w:t>
            </w:r>
          </w:p>
        </w:tc>
        <w:tc>
          <w:tcPr>
            <w:tcW w:type="dxa" w:w="190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[0.58, 3.15]</w:t>
            </w:r>
          </w:p>
        </w:tc>
        <w:tc>
          <w:tcPr>
            <w:tcW w:type="dxa" w:w="97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是</w:t>
            </w:r>
          </w:p>
        </w:tc>
      </w:tr>
      <w:tr>
        <w:tc>
          <w:tcPr>
            <w:tcW w:type="dxa" w:w="132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PV-Vegetable</w:t>
            </w:r>
          </w:p>
        </w:tc>
        <w:tc>
          <w:tcPr>
            <w:tcW w:type="dxa" w:w="2621"/>
            <w:vAlign w:val="center"/>
            <w:tcBorders>
              <w:top w:val="nil"/>
              <w:left w:val="nil"/>
              <w:bottom w:val="nil"/>
              <w:right w:val="nil"/>
              <w:insideH w:val="nil"/>
              <w:insideV w:val="nil"/>
            </w:tcBorders>
            <w:tcMar>
              <w:top w:w="25" w:type="dxa"/>
              <w:left w:w="35" w:type="dxa"/>
              <w:bottom w:w="25" w:type="dxa"/>
              <w:right w:w="35" w:type="dxa"/>
            </w:tcMar>
          </w:tcPr>
          <w:p>
            <w:pPr>
              <w:spacing w:before="0" w:after="0" w:line="240" w:lineRule="auto"/>
              <w:jc w:val="left"/>
            </w:pPr>
            <w:r>
              <w:rPr>
                <w:rFonts w:ascii="Times New Roman" w:hAnsi="Times New Roman" w:eastAsia="宋体"/>
                <w:sz w:val="14"/>
              </w:rPr>
              <w:t>C3 − KMeans距离拒识</w:t>
            </w:r>
          </w:p>
        </w:tc>
        <w:tc>
          <w:tcPr>
            <w:tcW w:type="dxa" w:w="126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0.83 pp</w:t>
            </w:r>
          </w:p>
        </w:tc>
        <w:tc>
          <w:tcPr>
            <w:tcW w:type="dxa" w:w="190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[-0.19, 2.40]</w:t>
            </w:r>
          </w:p>
        </w:tc>
        <w:tc>
          <w:tcPr>
            <w:tcW w:type="dxa" w:w="97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否</w:t>
            </w:r>
          </w:p>
        </w:tc>
      </w:tr>
      <w:tr>
        <w:tc>
          <w:tcPr>
            <w:tcW w:type="dxa" w:w="132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PV-Vegetable</w:t>
            </w:r>
          </w:p>
        </w:tc>
        <w:tc>
          <w:tcPr>
            <w:tcW w:type="dxa" w:w="2621"/>
            <w:vAlign w:val="center"/>
            <w:tcBorders>
              <w:top w:val="nil"/>
              <w:left w:val="nil"/>
              <w:bottom w:val="nil"/>
              <w:right w:val="nil"/>
              <w:insideH w:val="nil"/>
              <w:insideV w:val="nil"/>
            </w:tcBorders>
            <w:tcMar>
              <w:top w:w="25" w:type="dxa"/>
              <w:left w:w="35" w:type="dxa"/>
              <w:bottom w:w="25" w:type="dxa"/>
              <w:right w:w="35" w:type="dxa"/>
            </w:tcMar>
          </w:tcPr>
          <w:p>
            <w:pPr>
              <w:spacing w:before="0" w:after="0" w:line="240" w:lineRule="auto"/>
              <w:jc w:val="left"/>
            </w:pPr>
            <w:r>
              <w:rPr>
                <w:rFonts w:ascii="Times New Roman" w:hAnsi="Times New Roman" w:eastAsia="宋体"/>
                <w:sz w:val="14"/>
              </w:rPr>
              <w:t>C3 − C2</w:t>
            </w:r>
          </w:p>
        </w:tc>
        <w:tc>
          <w:tcPr>
            <w:tcW w:type="dxa" w:w="126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1.63 pp</w:t>
            </w:r>
          </w:p>
        </w:tc>
        <w:tc>
          <w:tcPr>
            <w:tcW w:type="dxa" w:w="190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[0.52, 3.13]</w:t>
            </w:r>
          </w:p>
        </w:tc>
        <w:tc>
          <w:tcPr>
            <w:tcW w:type="dxa" w:w="97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是</w:t>
            </w:r>
          </w:p>
        </w:tc>
      </w:tr>
      <w:tr>
        <w:tc>
          <w:tcPr>
            <w:tcW w:type="dxa" w:w="132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MCLD-9</w:t>
            </w:r>
          </w:p>
        </w:tc>
        <w:tc>
          <w:tcPr>
            <w:tcW w:type="dxa" w:w="2621"/>
            <w:vAlign w:val="center"/>
            <w:tcBorders>
              <w:top w:val="nil"/>
              <w:left w:val="nil"/>
              <w:bottom w:val="nil"/>
              <w:right w:val="nil"/>
              <w:insideH w:val="nil"/>
              <w:insideV w:val="nil"/>
            </w:tcBorders>
            <w:tcMar>
              <w:top w:w="25" w:type="dxa"/>
              <w:left w:w="35" w:type="dxa"/>
              <w:bottom w:w="25" w:type="dxa"/>
              <w:right w:w="35" w:type="dxa"/>
            </w:tcMar>
          </w:tcPr>
          <w:p>
            <w:pPr>
              <w:spacing w:before="0" w:after="0" w:line="240" w:lineRule="auto"/>
              <w:jc w:val="left"/>
            </w:pPr>
            <w:r>
              <w:rPr>
                <w:rFonts w:ascii="Times New Roman" w:hAnsi="Times New Roman" w:eastAsia="宋体"/>
                <w:sz w:val="14"/>
              </w:rPr>
              <w:t>C3 − 随机同覆盖率</w:t>
            </w:r>
          </w:p>
        </w:tc>
        <w:tc>
          <w:tcPr>
            <w:tcW w:type="dxa" w:w="126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2.88 pp</w:t>
            </w:r>
          </w:p>
        </w:tc>
        <w:tc>
          <w:tcPr>
            <w:tcW w:type="dxa" w:w="190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[1.65, 4.11]</w:t>
            </w:r>
          </w:p>
        </w:tc>
        <w:tc>
          <w:tcPr>
            <w:tcW w:type="dxa" w:w="97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是</w:t>
            </w:r>
          </w:p>
        </w:tc>
      </w:tr>
      <w:tr>
        <w:tc>
          <w:tcPr>
            <w:tcW w:type="dxa" w:w="132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MCLD-9</w:t>
            </w:r>
          </w:p>
        </w:tc>
        <w:tc>
          <w:tcPr>
            <w:tcW w:type="dxa" w:w="2621"/>
            <w:vAlign w:val="center"/>
            <w:tcBorders>
              <w:top w:val="nil"/>
              <w:left w:val="nil"/>
              <w:bottom w:val="nil"/>
              <w:right w:val="nil"/>
              <w:insideH w:val="nil"/>
              <w:insideV w:val="nil"/>
            </w:tcBorders>
            <w:tcMar>
              <w:top w:w="25" w:type="dxa"/>
              <w:left w:w="35" w:type="dxa"/>
              <w:bottom w:w="25" w:type="dxa"/>
              <w:right w:w="35" w:type="dxa"/>
            </w:tcMar>
          </w:tcPr>
          <w:p>
            <w:pPr>
              <w:spacing w:before="0" w:after="0" w:line="240" w:lineRule="auto"/>
              <w:jc w:val="left"/>
            </w:pPr>
            <w:r>
              <w:rPr>
                <w:rFonts w:ascii="Times New Roman" w:hAnsi="Times New Roman" w:eastAsia="宋体"/>
                <w:sz w:val="14"/>
              </w:rPr>
              <w:t>C3 − KMeans距离拒识</w:t>
            </w:r>
          </w:p>
        </w:tc>
        <w:tc>
          <w:tcPr>
            <w:tcW w:type="dxa" w:w="1267"/>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1.47 pp</w:t>
            </w:r>
          </w:p>
        </w:tc>
        <w:tc>
          <w:tcPr>
            <w:tcW w:type="dxa" w:w="190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[0.87, 2.06]</w:t>
            </w:r>
          </w:p>
        </w:tc>
        <w:tc>
          <w:tcPr>
            <w:tcW w:type="dxa" w:w="97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是</w:t>
            </w:r>
          </w:p>
        </w:tc>
      </w:tr>
      <w:tr>
        <w:tc>
          <w:tcPr>
            <w:tcW w:type="dxa" w:w="1325"/>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MCLD-9</w:t>
            </w:r>
          </w:p>
        </w:tc>
        <w:tc>
          <w:tcPr>
            <w:tcW w:type="dxa" w:w="2621"/>
            <w:vAlign w:val="center"/>
            <w:tcBorders>
              <w:top w:val="nil"/>
              <w:left w:val="nil"/>
              <w:bottom w:val="single" w:sz="8" w:color="000000"/>
              <w:right w:val="nil"/>
              <w:insideH w:val="nil"/>
              <w:insideV w:val="nil"/>
            </w:tcBorders>
            <w:tcMar>
              <w:top w:w="25" w:type="dxa"/>
              <w:left w:w="35" w:type="dxa"/>
              <w:bottom w:w="25" w:type="dxa"/>
              <w:right w:w="35" w:type="dxa"/>
            </w:tcMar>
          </w:tcPr>
          <w:p>
            <w:pPr>
              <w:spacing w:before="0" w:after="0" w:line="240" w:lineRule="auto"/>
              <w:jc w:val="left"/>
            </w:pPr>
            <w:r>
              <w:rPr>
                <w:rFonts w:ascii="Times New Roman" w:hAnsi="Times New Roman" w:eastAsia="宋体"/>
                <w:sz w:val="14"/>
              </w:rPr>
              <w:t>C3 − C2</w:t>
            </w:r>
          </w:p>
        </w:tc>
        <w:tc>
          <w:tcPr>
            <w:tcW w:type="dxa" w:w="1267"/>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2.81 pp</w:t>
            </w:r>
          </w:p>
        </w:tc>
        <w:tc>
          <w:tcPr>
            <w:tcW w:type="dxa" w:w="1901"/>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[1.63, 3.99]</w:t>
            </w:r>
          </w:p>
        </w:tc>
        <w:tc>
          <w:tcPr>
            <w:tcW w:type="dxa" w:w="979"/>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是</w:t>
            </w:r>
          </w:p>
        </w:tc>
      </w:tr>
    </w:tbl>
    <w:p>
      <w:pPr>
        <w:pStyle w:val="BodyText"/>
        <w:jc w:val="both"/>
      </w:pPr>
      <w:r>
        <w:rPr>
          <w:rFonts w:ascii="Times New Roman" w:hAnsi="Times New Roman" w:eastAsia="宋体"/>
          <w:i w:val="0"/>
          <w:sz w:val="21"/>
        </w:rPr>
        <w:t>PV-Vegetable中，C3相对于随机同覆盖率拒识提高1.66个百分点，对应95%置信区间是[0.58, 3.15]；相对于KMeans距离拒识的平均差异为0.83个百分点，但CI跨0。MCLD-9中，C3相对于随机拒识、距离拒识和C2的提升分别为2.88、1.47和2.81个百分点，CI均未跨0。PV-Fruit中的差异不足0.01个百分点，不具有实际意义。</w:t>
      </w:r>
    </w:p>
    <w:p>
      <w:pPr>
        <w:pStyle w:val="Heading2"/>
        <w:keepNext/>
      </w:pPr>
      <w:r>
        <w:rPr>
          <w:rFonts w:ascii="Arial" w:hAnsi="Arial" w:eastAsia="黑体"/>
          <w:b/>
          <w:sz w:val="26"/>
        </w:rPr>
        <w:t>4.7 DINOv2外部无监督基线与跨骨干验证</w:t>
      </w:r>
    </w:p>
    <w:p>
      <w:pPr>
        <w:pStyle w:val="Caption"/>
        <w:keepNext w:val="0"/>
        <w:jc w:val="center"/>
      </w:pPr>
      <w:r>
        <w:rPr>
          <w:rFonts w:ascii="Times New Roman" w:hAnsi="Times New Roman" w:eastAsia="宋体"/>
          <w:b w:val="0"/>
          <w:sz w:val="18"/>
        </w:rPr>
        <w:t>表7  ConvNeXt主设置与DINOv2外部无监督基线。选择性方法的Acc_kept不能与全覆盖方法脱离Coverage直接排名。</w:t>
      </w:r>
    </w:p>
    <w:tbl>
      <w:tblPr>
        <w:tblW w:type="auto" w:w="0"/>
        <w:jc w:val="center"/>
        <w:tblLayout w:type="fixed"/>
        <w:tblLook w:firstColumn="1" w:firstRow="1" w:lastColumn="0" w:lastRow="0" w:noHBand="0" w:noVBand="1" w:val="04A0"/>
      </w:tblPr>
      <w:tblGrid>
        <w:gridCol w:w="1328"/>
        <w:gridCol w:w="1328"/>
        <w:gridCol w:w="1328"/>
        <w:gridCol w:w="1328"/>
        <w:gridCol w:w="1328"/>
        <w:gridCol w:w="1328"/>
        <w:gridCol w:w="1328"/>
      </w:tblGrid>
      <w:tr>
        <w:trPr>
          <w:tblHeader w:val="true"/>
        </w:trPr>
        <w:tc>
          <w:tcPr>
            <w:tcW w:type="dxa" w:w="1123"/>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4"/>
              </w:rPr>
            </w:r>
            <w:r>
              <w:rPr>
                <w:rFonts w:ascii="Times New Roman" w:hAnsi="Times New Roman" w:eastAsia="宋体"/>
                <w:b/>
                <w:sz w:val="14"/>
              </w:rPr>
              <w:t>数据集</w:t>
            </w:r>
          </w:p>
        </w:tc>
        <w:tc>
          <w:tcPr>
            <w:tcW w:type="dxa" w:w="1786"/>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4"/>
              </w:rPr>
            </w:r>
            <w:r>
              <w:rPr>
                <w:rFonts w:ascii="Times New Roman" w:hAnsi="Times New Roman" w:eastAsia="宋体"/>
                <w:b/>
                <w:sz w:val="14"/>
              </w:rPr>
              <w:t>方法</w:t>
            </w:r>
          </w:p>
        </w:tc>
        <w:tc>
          <w:tcPr>
            <w:tcW w:type="dxa" w:w="1152"/>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4"/>
              </w:rPr>
              <w:t>Acc_kept</w:t>
            </w:r>
          </w:p>
        </w:tc>
        <w:tc>
          <w:tcPr>
            <w:tcW w:type="dxa" w:w="1094"/>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before="0" w:after="0" w:line="240" w:lineRule="auto"/>
              <w:jc w:val="center"/>
            </w:pPr>
            <w:r>
              <w:rPr>
                <w:rFonts w:ascii="Times New Roman" w:hAnsi="Times New Roman" w:eastAsia="宋体"/>
                <w:b/>
                <w:sz w:val="14"/>
              </w:rPr>
              <w:t>Coverage</w:t>
            </w:r>
          </w:p>
        </w:tc>
        <w:tc>
          <w:tcPr>
            <w:tcW w:type="dxa" w:w="1469"/>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4"/>
              </w:rPr>
            </w:r>
            <w:r>
              <w:rPr>
                <w:rFonts w:ascii="Times New Roman" w:hAnsi="Times New Roman" w:eastAsia="宋体"/>
                <w:b/>
                <w:sz w:val="14"/>
              </w:rPr>
              <w:t>保守全样本准确率</w:t>
            </w:r>
          </w:p>
        </w:tc>
        <w:tc>
          <w:tcPr>
            <w:tcW w:type="dxa" w:w="1051"/>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4"/>
              </w:rPr>
            </w:r>
            <w:r>
              <w:rPr>
                <w:rFonts w:ascii="Times New Roman" w:hAnsi="Times New Roman" w:eastAsia="宋体"/>
                <w:b/>
                <w:sz w:val="14"/>
              </w:rPr>
              <w:t>ARI_all</w:t>
            </w:r>
          </w:p>
        </w:tc>
        <w:tc>
          <w:tcPr>
            <w:tcW w:type="dxa" w:w="1051"/>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4"/>
              </w:rPr>
            </w:r>
            <w:r>
              <w:rPr>
                <w:rFonts w:ascii="Times New Roman" w:hAnsi="Times New Roman" w:eastAsia="宋体"/>
                <w:b/>
                <w:sz w:val="14"/>
              </w:rPr>
              <w:t>ARI_kept</w:t>
            </w:r>
          </w:p>
        </w:tc>
      </w:tr>
      <w:tr>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PV-Fruit</w:t>
            </w:r>
          </w:p>
        </w:tc>
        <w:tc>
          <w:tcPr>
            <w:tcW w:type="dxa" w:w="1786"/>
            <w:vAlign w:val="center"/>
            <w:tcBorders>
              <w:top w:val="nil"/>
              <w:left w:val="nil"/>
              <w:bottom w:val="nil"/>
              <w:right w:val="nil"/>
              <w:insideH w:val="nil"/>
              <w:insideV w:val="nil"/>
            </w:tcBorders>
            <w:tcMar>
              <w:top w:w="25" w:type="dxa"/>
              <w:left w:w="35" w:type="dxa"/>
              <w:bottom w:w="25" w:type="dxa"/>
              <w:right w:w="35" w:type="dxa"/>
            </w:tcMar>
          </w:tcPr>
          <w:p>
            <w:pPr>
              <w:spacing w:before="0" w:after="0" w:line="240" w:lineRule="auto"/>
              <w:jc w:val="left"/>
            </w:pPr>
            <w:r>
              <w:rPr>
                <w:rFonts w:ascii="Times New Roman" w:hAnsi="Times New Roman" w:eastAsia="宋体"/>
                <w:sz w:val="13"/>
              </w:rPr>
              <w:t>ConvNeXt+C3</w:t>
            </w:r>
          </w:p>
        </w:tc>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99.95% ± 0.00%</w:t>
            </w:r>
          </w:p>
        </w:tc>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78.70% ± 4.58%</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78.65% ± 4.58%</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0.389 ± 0.004</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0.517 ± 0.047</w:t>
            </w:r>
          </w:p>
        </w:tc>
      </w:tr>
      <w:tr>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PV-Fruit</w:t>
            </w:r>
          </w:p>
        </w:tc>
        <w:tc>
          <w:tcPr>
            <w:tcW w:type="dxa" w:w="1786"/>
            <w:vAlign w:val="center"/>
            <w:tcBorders>
              <w:top w:val="nil"/>
              <w:left w:val="nil"/>
              <w:bottom w:val="nil"/>
              <w:right w:val="nil"/>
              <w:insideH w:val="nil"/>
              <w:insideV w:val="nil"/>
            </w:tcBorders>
            <w:tcMar>
              <w:top w:w="25" w:type="dxa"/>
              <w:left w:w="35" w:type="dxa"/>
              <w:bottom w:w="25" w:type="dxa"/>
              <w:right w:w="35" w:type="dxa"/>
            </w:tcMar>
          </w:tcPr>
          <w:p>
            <w:pPr>
              <w:spacing w:before="0" w:after="0" w:line="240" w:lineRule="auto"/>
              <w:jc w:val="left"/>
            </w:pPr>
            <w:r>
              <w:rPr>
                <w:rFonts w:ascii="Times New Roman" w:hAnsi="Times New Roman" w:eastAsia="宋体"/>
                <w:sz w:val="13"/>
              </w:rPr>
              <w:t>DINOv2+KMeans</w:t>
            </w:r>
          </w:p>
        </w:tc>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98.78% ± 0.02%</w:t>
            </w:r>
          </w:p>
        </w:tc>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100.00% ± 0.00%</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98.78% ± 0.02%</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0.365 ± 0.011</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0.365 ± 0.011</w:t>
            </w:r>
          </w:p>
        </w:tc>
      </w:tr>
      <w:tr>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PV-Fruit</w:t>
            </w:r>
          </w:p>
        </w:tc>
        <w:tc>
          <w:tcPr>
            <w:tcW w:type="dxa" w:w="1786"/>
            <w:vAlign w:val="center"/>
            <w:tcBorders>
              <w:top w:val="nil"/>
              <w:left w:val="nil"/>
              <w:bottom w:val="nil"/>
              <w:right w:val="nil"/>
              <w:insideH w:val="nil"/>
              <w:insideV w:val="nil"/>
            </w:tcBorders>
            <w:tcMar>
              <w:top w:w="25" w:type="dxa"/>
              <w:left w:w="35" w:type="dxa"/>
              <w:bottom w:w="25" w:type="dxa"/>
              <w:right w:w="35" w:type="dxa"/>
            </w:tcMar>
          </w:tcPr>
          <w:p>
            <w:pPr>
              <w:spacing w:before="0" w:after="0" w:line="240" w:lineRule="auto"/>
              <w:jc w:val="left"/>
            </w:pPr>
            <w:r>
              <w:rPr>
                <w:rFonts w:ascii="Times New Roman" w:hAnsi="Times New Roman" w:eastAsia="宋体"/>
                <w:sz w:val="13"/>
              </w:rPr>
              <w:t>DINOv2+C3</w:t>
            </w:r>
          </w:p>
        </w:tc>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99.80% ± 0.06%</w:t>
            </w:r>
          </w:p>
        </w:tc>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72.68% ± 2.74%</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72.53% ± 2.73%</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0.375 ± 0.016</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0.539 ± 0.052</w:t>
            </w:r>
          </w:p>
        </w:tc>
      </w:tr>
      <w:tr>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PV-Vegetable</w:t>
            </w:r>
          </w:p>
        </w:tc>
        <w:tc>
          <w:tcPr>
            <w:tcW w:type="dxa" w:w="1786"/>
            <w:vAlign w:val="center"/>
            <w:tcBorders>
              <w:top w:val="nil"/>
              <w:left w:val="nil"/>
              <w:bottom w:val="nil"/>
              <w:right w:val="nil"/>
              <w:insideH w:val="nil"/>
              <w:insideV w:val="nil"/>
            </w:tcBorders>
            <w:tcMar>
              <w:top w:w="25" w:type="dxa"/>
              <w:left w:w="35" w:type="dxa"/>
              <w:bottom w:w="25" w:type="dxa"/>
              <w:right w:w="35" w:type="dxa"/>
            </w:tcMar>
          </w:tcPr>
          <w:p>
            <w:pPr>
              <w:spacing w:before="0" w:after="0" w:line="240" w:lineRule="auto"/>
              <w:jc w:val="left"/>
            </w:pPr>
            <w:r>
              <w:rPr>
                <w:rFonts w:ascii="Times New Roman" w:hAnsi="Times New Roman" w:eastAsia="宋体"/>
                <w:sz w:val="13"/>
              </w:rPr>
              <w:t>ConvNeXt+C3</w:t>
            </w:r>
          </w:p>
        </w:tc>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97.85% ± 2.10%</w:t>
            </w:r>
          </w:p>
        </w:tc>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89.99% ± 4.34%</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88.01% ± 3.35%</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0.691 ± 0.009</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0.764 ± 0.030</w:t>
            </w:r>
          </w:p>
        </w:tc>
      </w:tr>
      <w:tr>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PV-Vegetable</w:t>
            </w:r>
          </w:p>
        </w:tc>
        <w:tc>
          <w:tcPr>
            <w:tcW w:type="dxa" w:w="1786"/>
            <w:vAlign w:val="center"/>
            <w:tcBorders>
              <w:top w:val="nil"/>
              <w:left w:val="nil"/>
              <w:bottom w:val="nil"/>
              <w:right w:val="nil"/>
              <w:insideH w:val="nil"/>
              <w:insideV w:val="nil"/>
            </w:tcBorders>
            <w:tcMar>
              <w:top w:w="25" w:type="dxa"/>
              <w:left w:w="35" w:type="dxa"/>
              <w:bottom w:w="25" w:type="dxa"/>
              <w:right w:w="35" w:type="dxa"/>
            </w:tcMar>
          </w:tcPr>
          <w:p>
            <w:pPr>
              <w:spacing w:before="0" w:after="0" w:line="240" w:lineRule="auto"/>
              <w:jc w:val="left"/>
            </w:pPr>
            <w:r>
              <w:rPr>
                <w:rFonts w:ascii="Times New Roman" w:hAnsi="Times New Roman" w:eastAsia="宋体"/>
                <w:sz w:val="13"/>
              </w:rPr>
              <w:t>DINOv2+KMeans</w:t>
            </w:r>
          </w:p>
        </w:tc>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82.56% ± 1.12%</w:t>
            </w:r>
          </w:p>
        </w:tc>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100.00% ± 0.00%</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82.56% ± 1.12%</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0.385 ± 0.012</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0.385 ± 0.012</w:t>
            </w:r>
          </w:p>
        </w:tc>
      </w:tr>
      <w:tr>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PV-Vegetable</w:t>
            </w:r>
          </w:p>
        </w:tc>
        <w:tc>
          <w:tcPr>
            <w:tcW w:type="dxa" w:w="1786"/>
            <w:vAlign w:val="center"/>
            <w:tcBorders>
              <w:top w:val="nil"/>
              <w:left w:val="nil"/>
              <w:bottom w:val="nil"/>
              <w:right w:val="nil"/>
              <w:insideH w:val="nil"/>
              <w:insideV w:val="nil"/>
            </w:tcBorders>
            <w:tcMar>
              <w:top w:w="25" w:type="dxa"/>
              <w:left w:w="35" w:type="dxa"/>
              <w:bottom w:w="25" w:type="dxa"/>
              <w:right w:w="35" w:type="dxa"/>
            </w:tcMar>
          </w:tcPr>
          <w:p>
            <w:pPr>
              <w:spacing w:before="0" w:after="0" w:line="240" w:lineRule="auto"/>
              <w:jc w:val="left"/>
            </w:pPr>
            <w:r>
              <w:rPr>
                <w:rFonts w:ascii="Times New Roman" w:hAnsi="Times New Roman" w:eastAsia="宋体"/>
                <w:sz w:val="13"/>
              </w:rPr>
              <w:t>DINOv2+C3</w:t>
            </w:r>
          </w:p>
        </w:tc>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95.60% ± 0.55%</w:t>
            </w:r>
          </w:p>
        </w:tc>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82.41% ± 6.79%</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78.76% ± 6.15%</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0.624 ± 0.022</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0.723 ± 0.028</w:t>
            </w:r>
          </w:p>
        </w:tc>
      </w:tr>
      <w:tr>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MCLD-11</w:t>
            </w:r>
          </w:p>
        </w:tc>
        <w:tc>
          <w:tcPr>
            <w:tcW w:type="dxa" w:w="1786"/>
            <w:vAlign w:val="center"/>
            <w:tcBorders>
              <w:top w:val="nil"/>
              <w:left w:val="nil"/>
              <w:bottom w:val="nil"/>
              <w:right w:val="nil"/>
              <w:insideH w:val="nil"/>
              <w:insideV w:val="nil"/>
            </w:tcBorders>
            <w:tcMar>
              <w:top w:w="25" w:type="dxa"/>
              <w:left w:w="35" w:type="dxa"/>
              <w:bottom w:w="25" w:type="dxa"/>
              <w:right w:w="35" w:type="dxa"/>
            </w:tcMar>
          </w:tcPr>
          <w:p>
            <w:pPr>
              <w:spacing w:before="0" w:after="0" w:line="240" w:lineRule="auto"/>
              <w:jc w:val="left"/>
            </w:pPr>
            <w:r>
              <w:rPr>
                <w:rFonts w:ascii="Times New Roman" w:hAnsi="Times New Roman" w:eastAsia="宋体"/>
                <w:sz w:val="13"/>
              </w:rPr>
              <w:t>ConvNeXt+C3</w:t>
            </w:r>
          </w:p>
        </w:tc>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87.38% ± 0.76%</w:t>
            </w:r>
          </w:p>
        </w:tc>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81.09% ± 0.89%</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70.86% ± 0.84%</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0.528 ± 0.010</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0.600 ± 0.011</w:t>
            </w:r>
          </w:p>
        </w:tc>
      </w:tr>
      <w:tr>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MCLD-11</w:t>
            </w:r>
          </w:p>
        </w:tc>
        <w:tc>
          <w:tcPr>
            <w:tcW w:type="dxa" w:w="1786"/>
            <w:vAlign w:val="center"/>
            <w:tcBorders>
              <w:top w:val="nil"/>
              <w:left w:val="nil"/>
              <w:bottom w:val="nil"/>
              <w:right w:val="nil"/>
              <w:insideH w:val="nil"/>
              <w:insideV w:val="nil"/>
            </w:tcBorders>
            <w:tcMar>
              <w:top w:w="25" w:type="dxa"/>
              <w:left w:w="35" w:type="dxa"/>
              <w:bottom w:w="25" w:type="dxa"/>
              <w:right w:w="35" w:type="dxa"/>
            </w:tcMar>
          </w:tcPr>
          <w:p>
            <w:pPr>
              <w:spacing w:before="0" w:after="0" w:line="240" w:lineRule="auto"/>
              <w:jc w:val="left"/>
            </w:pPr>
            <w:r>
              <w:rPr>
                <w:rFonts w:ascii="Times New Roman" w:hAnsi="Times New Roman" w:eastAsia="宋体"/>
                <w:sz w:val="13"/>
              </w:rPr>
              <w:t>DINOv2+KMeans</w:t>
            </w:r>
          </w:p>
        </w:tc>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70.91% ± 2.01%</w:t>
            </w:r>
          </w:p>
        </w:tc>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100.00% ± 0.00%</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70.91% ± 2.01%</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0.379 ± 0.017</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0.379 ± 0.017</w:t>
            </w:r>
          </w:p>
        </w:tc>
      </w:tr>
      <w:tr>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MCLD-11</w:t>
            </w:r>
          </w:p>
        </w:tc>
        <w:tc>
          <w:tcPr>
            <w:tcW w:type="dxa" w:w="1786"/>
            <w:vAlign w:val="center"/>
            <w:tcBorders>
              <w:top w:val="nil"/>
              <w:left w:val="nil"/>
              <w:bottom w:val="nil"/>
              <w:right w:val="nil"/>
              <w:insideH w:val="nil"/>
              <w:insideV w:val="nil"/>
            </w:tcBorders>
            <w:tcMar>
              <w:top w:w="25" w:type="dxa"/>
              <w:left w:w="35" w:type="dxa"/>
              <w:bottom w:w="25" w:type="dxa"/>
              <w:right w:w="35" w:type="dxa"/>
            </w:tcMar>
          </w:tcPr>
          <w:p>
            <w:pPr>
              <w:spacing w:before="0" w:after="0" w:line="240" w:lineRule="auto"/>
              <w:jc w:val="left"/>
            </w:pPr>
            <w:r>
              <w:rPr>
                <w:rFonts w:ascii="Times New Roman" w:hAnsi="Times New Roman" w:eastAsia="宋体"/>
                <w:sz w:val="13"/>
              </w:rPr>
              <w:t>DINOv2+C3</w:t>
            </w:r>
          </w:p>
        </w:tc>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81.61% ± 2.79%</w:t>
            </w:r>
          </w:p>
        </w:tc>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81.21% ± 3.95%</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66.22% ± 2.54%</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0.488 ± 0.019</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0.558 ± 0.040</w:t>
            </w:r>
          </w:p>
        </w:tc>
      </w:tr>
      <w:tr>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MCLD-9</w:t>
            </w:r>
          </w:p>
        </w:tc>
        <w:tc>
          <w:tcPr>
            <w:tcW w:type="dxa" w:w="1786"/>
            <w:vAlign w:val="center"/>
            <w:tcBorders>
              <w:top w:val="nil"/>
              <w:left w:val="nil"/>
              <w:bottom w:val="nil"/>
              <w:right w:val="nil"/>
              <w:insideH w:val="nil"/>
              <w:insideV w:val="nil"/>
            </w:tcBorders>
            <w:tcMar>
              <w:top w:w="25" w:type="dxa"/>
              <w:left w:w="35" w:type="dxa"/>
              <w:bottom w:w="25" w:type="dxa"/>
              <w:right w:w="35" w:type="dxa"/>
            </w:tcMar>
          </w:tcPr>
          <w:p>
            <w:pPr>
              <w:spacing w:before="0" w:after="0" w:line="240" w:lineRule="auto"/>
              <w:jc w:val="left"/>
            </w:pPr>
            <w:r>
              <w:rPr>
                <w:rFonts w:ascii="Times New Roman" w:hAnsi="Times New Roman" w:eastAsia="宋体"/>
                <w:sz w:val="13"/>
              </w:rPr>
              <w:t>ConvNeXt+C3</w:t>
            </w:r>
          </w:p>
        </w:tc>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90.72% ± 1.48%</w:t>
            </w:r>
          </w:p>
        </w:tc>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90.61% ± 5.05%</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82.14% ± 3.23%</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0.522 ± 0.010</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0.578 ± 0.039</w:t>
            </w:r>
          </w:p>
        </w:tc>
      </w:tr>
      <w:tr>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MCLD-9</w:t>
            </w:r>
          </w:p>
        </w:tc>
        <w:tc>
          <w:tcPr>
            <w:tcW w:type="dxa" w:w="1786"/>
            <w:vAlign w:val="center"/>
            <w:tcBorders>
              <w:top w:val="nil"/>
              <w:left w:val="nil"/>
              <w:bottom w:val="nil"/>
              <w:right w:val="nil"/>
              <w:insideH w:val="nil"/>
              <w:insideV w:val="nil"/>
            </w:tcBorders>
            <w:tcMar>
              <w:top w:w="25" w:type="dxa"/>
              <w:left w:w="35" w:type="dxa"/>
              <w:bottom w:w="25" w:type="dxa"/>
              <w:right w:w="35" w:type="dxa"/>
            </w:tcMar>
          </w:tcPr>
          <w:p>
            <w:pPr>
              <w:spacing w:before="0" w:after="0" w:line="240" w:lineRule="auto"/>
              <w:jc w:val="left"/>
            </w:pPr>
            <w:r>
              <w:rPr>
                <w:rFonts w:ascii="Times New Roman" w:hAnsi="Times New Roman" w:eastAsia="宋体"/>
                <w:sz w:val="13"/>
              </w:rPr>
              <w:t>DINOv2+KMeans</w:t>
            </w:r>
          </w:p>
        </w:tc>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79.05% ± 0.94%</w:t>
            </w:r>
          </w:p>
        </w:tc>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100.00% ± 0.00%</w:t>
            </w:r>
          </w:p>
        </w:tc>
        <w:tc>
          <w:tcPr>
            <w:tcW w:type="dxa" w:w="1469"/>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79.05% ± 0.94%</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0.415 ± 0.011</w:t>
            </w:r>
          </w:p>
        </w:tc>
        <w:tc>
          <w:tcPr>
            <w:tcW w:type="dxa" w:w="105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0.415 ± 0.011</w:t>
            </w:r>
          </w:p>
        </w:tc>
      </w:tr>
      <w:tr>
        <w:tc>
          <w:tcPr>
            <w:tcW w:type="dxa" w:w="1123"/>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MCLD-9</w:t>
            </w:r>
          </w:p>
        </w:tc>
        <w:tc>
          <w:tcPr>
            <w:tcW w:type="dxa" w:w="1786"/>
            <w:vAlign w:val="center"/>
            <w:tcBorders>
              <w:top w:val="nil"/>
              <w:left w:val="nil"/>
              <w:bottom w:val="single" w:sz="8" w:color="000000"/>
              <w:right w:val="nil"/>
              <w:insideH w:val="nil"/>
              <w:insideV w:val="nil"/>
            </w:tcBorders>
            <w:tcMar>
              <w:top w:w="25" w:type="dxa"/>
              <w:left w:w="35" w:type="dxa"/>
              <w:bottom w:w="25" w:type="dxa"/>
              <w:right w:w="35" w:type="dxa"/>
            </w:tcMar>
          </w:tcPr>
          <w:p>
            <w:pPr>
              <w:spacing w:before="0" w:after="0" w:line="240" w:lineRule="auto"/>
              <w:jc w:val="left"/>
            </w:pPr>
            <w:r>
              <w:rPr>
                <w:rFonts w:ascii="Times New Roman" w:hAnsi="Times New Roman" w:eastAsia="宋体"/>
                <w:sz w:val="13"/>
              </w:rPr>
              <w:t>DINOv2+C3</w:t>
            </w:r>
          </w:p>
        </w:tc>
        <w:tc>
          <w:tcPr>
            <w:tcW w:type="dxa" w:w="1152"/>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88.15% ± 0.73%</w:t>
            </w:r>
          </w:p>
        </w:tc>
        <w:tc>
          <w:tcPr>
            <w:tcW w:type="dxa" w:w="1094"/>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80.47% ± 3.38%</w:t>
            </w:r>
          </w:p>
        </w:tc>
        <w:tc>
          <w:tcPr>
            <w:tcW w:type="dxa" w:w="1469"/>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70.91% ± 2.39%</w:t>
            </w:r>
          </w:p>
        </w:tc>
        <w:tc>
          <w:tcPr>
            <w:tcW w:type="dxa" w:w="1051"/>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0.497 ± 0.004</w:t>
            </w:r>
          </w:p>
        </w:tc>
        <w:tc>
          <w:tcPr>
            <w:tcW w:type="dxa" w:w="1051"/>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0.597 ± 0.022</w:t>
            </w:r>
          </w:p>
        </w:tc>
      </w:tr>
    </w:tbl>
    <w:p>
      <w:pPr>
        <w:pStyle w:val="BodyText"/>
        <w:jc w:val="both"/>
      </w:pPr>
      <w:r>
        <w:rPr>
          <w:rFonts w:ascii="Times New Roman" w:hAnsi="Times New Roman" w:eastAsia="宋体"/>
          <w:i w:val="0"/>
          <w:sz w:val="21"/>
        </w:rPr>
        <w:t>在相同DINOv2+UMAP表示下，C3相对于KMeans在PV-Vegetable、MCLD-11和MCLD-9上的Acc_kept分别提高6.73、2.58和3.45个百分点，ARI_kept分别提高0.0985、0.0695和0.1001，NMI_kept分别提高0.0485、0.0249和0.0393。相对于C2，上述三个数据集的Acc_kept同样分别提高4.17、2.16和3.16个百分点。对应95%配对Bootstrap置信区间均未跨0。</w:t>
      </w:r>
    </w:p>
    <w:p>
      <w:pPr>
        <w:pStyle w:val="BodyText"/>
        <w:jc w:val="both"/>
      </w:pPr>
      <w:r>
        <w:rPr>
          <w:rFonts w:ascii="Times New Roman" w:hAnsi="Times New Roman" w:eastAsia="宋体"/>
          <w:i w:val="0"/>
          <w:sz w:val="21"/>
        </w:rPr>
        <w:t>C3的Coverage在PV-Vegetable、MCLD-11和MCLD-9上相对于DINOv2+UMAP+KMeans分别下降17.59、18.79和19.53个百分点。这说明外部自监督骨干下的质量提升并非免费获得，而是更严格拒识带来的质量—覆盖代价。PV-Fruit中Acc_kept差异接近0，但ARI_kept提高0.1641、NMI_kept提高0.0621，表明天花板数据上C3主要改善结构一致性。</w:t>
      </w:r>
    </w:p>
    <w:p>
      <w:pPr>
        <w:pStyle w:val="Caption"/>
        <w:keepNext w:val="0"/>
        <w:jc w:val="center"/>
      </w:pPr>
      <w:r>
        <w:rPr>
          <w:rFonts w:ascii="Times New Roman" w:hAnsi="Times New Roman" w:eastAsia="宋体"/>
          <w:b w:val="0"/>
          <w:sz w:val="18"/>
        </w:rPr>
        <w:t>表8  DINOv2骨干内C3相对KMeans/C2的配对Bootstrap（均值差及95% CI）。</w:t>
      </w:r>
    </w:p>
    <w:tbl>
      <w:tblPr>
        <w:tblW w:type="auto" w:w="0"/>
        <w:jc w:val="center"/>
        <w:tblLayout w:type="fixed"/>
        <w:tblLook w:firstColumn="1" w:firstRow="1" w:lastColumn="0" w:lastRow="0" w:noHBand="0" w:noVBand="1" w:val="04A0"/>
      </w:tblPr>
      <w:tblGrid>
        <w:gridCol w:w="1550"/>
        <w:gridCol w:w="1550"/>
        <w:gridCol w:w="1550"/>
        <w:gridCol w:w="1550"/>
        <w:gridCol w:w="1550"/>
        <w:gridCol w:w="1550"/>
      </w:tblGrid>
      <w:tr>
        <w:trPr>
          <w:tblHeader w:val="true"/>
        </w:trPr>
        <w:tc>
          <w:tcPr>
            <w:tcW w:type="dxa" w:w="1123"/>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4"/>
              </w:rPr>
            </w:r>
            <w:r>
              <w:rPr>
                <w:rFonts w:ascii="Times New Roman" w:hAnsi="Times New Roman" w:eastAsia="宋体"/>
                <w:b/>
                <w:sz w:val="14"/>
              </w:rPr>
              <w:t>数据集</w:t>
            </w:r>
          </w:p>
        </w:tc>
        <w:tc>
          <w:tcPr>
            <w:tcW w:type="dxa" w:w="1238"/>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4"/>
              </w:rPr>
            </w:r>
            <w:r>
              <w:rPr>
                <w:rFonts w:ascii="Times New Roman" w:hAnsi="Times New Roman" w:eastAsia="宋体"/>
                <w:b/>
                <w:sz w:val="14"/>
              </w:rPr>
              <w:t>比较</w:t>
            </w:r>
          </w:p>
        </w:tc>
        <w:tc>
          <w:tcPr>
            <w:tcW w:type="dxa" w:w="1728"/>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4"/>
              </w:rPr>
              <w:t>ΔAcc_kept</w:t>
            </w:r>
          </w:p>
        </w:tc>
        <w:tc>
          <w:tcPr>
            <w:tcW w:type="dxa" w:w="1728"/>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4"/>
              </w:rPr>
            </w:r>
            <w:r>
              <w:rPr>
                <w:rFonts w:ascii="Times New Roman" w:hAnsi="Times New Roman" w:eastAsia="宋体"/>
                <w:b/>
                <w:sz w:val="14"/>
              </w:rPr>
              <w:t>ΔARI_kept</w:t>
            </w:r>
          </w:p>
        </w:tc>
        <w:tc>
          <w:tcPr>
            <w:tcW w:type="dxa" w:w="1728"/>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4"/>
              </w:rPr>
            </w:r>
            <w:r>
              <w:rPr>
                <w:rFonts w:ascii="Times New Roman" w:hAnsi="Times New Roman" w:eastAsia="宋体"/>
                <w:b/>
                <w:sz w:val="14"/>
              </w:rPr>
              <w:t>ΔNMI_kept</w:t>
            </w:r>
          </w:p>
        </w:tc>
        <w:tc>
          <w:tcPr>
            <w:tcW w:type="dxa" w:w="1728"/>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4"/>
              </w:rPr>
            </w:r>
            <w:r>
              <w:rPr>
                <w:rFonts w:ascii="Times New Roman" w:hAnsi="Times New Roman" w:eastAsia="宋体"/>
                <w:b/>
                <w:sz w:val="14"/>
              </w:rPr>
              <w:t>ΔCoverage</w:t>
            </w:r>
          </w:p>
        </w:tc>
      </w:tr>
      <w:tr>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PV-Vegetable</w:t>
            </w:r>
          </w:p>
        </w:tc>
        <w:tc>
          <w:tcPr>
            <w:tcW w:type="dxa" w:w="123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vs KMeans</w:t>
            </w:r>
          </w:p>
        </w:tc>
        <w:tc>
          <w:tcPr>
            <w:tcW w:type="dxa" w:w="172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6.73 [3.34, 10.22] pp</w:t>
            </w:r>
          </w:p>
        </w:tc>
        <w:tc>
          <w:tcPr>
            <w:tcW w:type="dxa" w:w="172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0.0985 [0.0788, 0.1183]</w:t>
            </w:r>
          </w:p>
        </w:tc>
        <w:tc>
          <w:tcPr>
            <w:tcW w:type="dxa" w:w="172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0.0485 [0.0371, 0.0599]</w:t>
            </w:r>
          </w:p>
        </w:tc>
        <w:tc>
          <w:tcPr>
            <w:tcW w:type="dxa" w:w="172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-17.59 [-23.51, -12.74] pp</w:t>
            </w:r>
          </w:p>
        </w:tc>
      </w:tr>
      <w:tr>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PV-Vegetable</w:t>
            </w:r>
          </w:p>
        </w:tc>
        <w:tc>
          <w:tcPr>
            <w:tcW w:type="dxa" w:w="123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t>vs C2</w:t>
            </w:r>
          </w:p>
        </w:tc>
        <w:tc>
          <w:tcPr>
            <w:tcW w:type="dxa" w:w="172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4.17 [1.60, 6.69] pp</w:t>
            </w:r>
          </w:p>
        </w:tc>
        <w:tc>
          <w:tcPr>
            <w:tcW w:type="dxa" w:w="172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0.0652 [0.0514, 0.0804]</w:t>
            </w:r>
          </w:p>
        </w:tc>
        <w:tc>
          <w:tcPr>
            <w:tcW w:type="dxa" w:w="172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0.0315 [0.0202, 0.0431]</w:t>
            </w:r>
          </w:p>
        </w:tc>
        <w:tc>
          <w:tcPr>
            <w:tcW w:type="dxa" w:w="172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-13.86 [-19.59, -9.70] pp</w:t>
            </w:r>
          </w:p>
        </w:tc>
      </w:tr>
      <w:tr>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MCLD-11</w:t>
            </w:r>
          </w:p>
        </w:tc>
        <w:tc>
          <w:tcPr>
            <w:tcW w:type="dxa" w:w="123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vs KMeans</w:t>
            </w:r>
          </w:p>
        </w:tc>
        <w:tc>
          <w:tcPr>
            <w:tcW w:type="dxa" w:w="172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2.58 [1.35, 3.73] pp</w:t>
            </w:r>
          </w:p>
        </w:tc>
        <w:tc>
          <w:tcPr>
            <w:tcW w:type="dxa" w:w="172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0.0695 [0.0511, 0.0873]</w:t>
            </w:r>
          </w:p>
        </w:tc>
        <w:tc>
          <w:tcPr>
            <w:tcW w:type="dxa" w:w="172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0.0249 [0.0169, 0.0346]</w:t>
            </w:r>
          </w:p>
        </w:tc>
        <w:tc>
          <w:tcPr>
            <w:tcW w:type="dxa" w:w="172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-18.79 [-21.86, -15.72] pp</w:t>
            </w:r>
          </w:p>
        </w:tc>
      </w:tr>
      <w:tr>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MCLD-11</w:t>
            </w:r>
          </w:p>
        </w:tc>
        <w:tc>
          <w:tcPr>
            <w:tcW w:type="dxa" w:w="123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t>vs C2</w:t>
            </w:r>
          </w:p>
        </w:tc>
        <w:tc>
          <w:tcPr>
            <w:tcW w:type="dxa" w:w="172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2.16 [0.81, 3.52] pp</w:t>
            </w:r>
          </w:p>
        </w:tc>
        <w:tc>
          <w:tcPr>
            <w:tcW w:type="dxa" w:w="172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0.0612 [0.0469, 0.0760]</w:t>
            </w:r>
          </w:p>
        </w:tc>
        <w:tc>
          <w:tcPr>
            <w:tcW w:type="dxa" w:w="172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0.0218 [0.0150, 0.0305]</w:t>
            </w:r>
          </w:p>
        </w:tc>
        <w:tc>
          <w:tcPr>
            <w:tcW w:type="dxa" w:w="172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-16.94 [-19.03, -14.66] pp</w:t>
            </w:r>
          </w:p>
        </w:tc>
      </w:tr>
      <w:tr>
        <w:tc>
          <w:tcPr>
            <w:tcW w:type="dxa" w:w="112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MCLD-9</w:t>
            </w:r>
          </w:p>
        </w:tc>
        <w:tc>
          <w:tcPr>
            <w:tcW w:type="dxa" w:w="123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vs KMeans</w:t>
            </w:r>
          </w:p>
        </w:tc>
        <w:tc>
          <w:tcPr>
            <w:tcW w:type="dxa" w:w="172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3.45 [2.90, 4.00] pp</w:t>
            </w:r>
          </w:p>
        </w:tc>
        <w:tc>
          <w:tcPr>
            <w:tcW w:type="dxa" w:w="172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0.1001 [0.0814, 0.1176]</w:t>
            </w:r>
          </w:p>
        </w:tc>
        <w:tc>
          <w:tcPr>
            <w:tcW w:type="dxa" w:w="172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0.0393 [0.0311, 0.0474]</w:t>
            </w:r>
          </w:p>
        </w:tc>
        <w:tc>
          <w:tcPr>
            <w:tcW w:type="dxa" w:w="172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-19.53 [-22.09, -16.96] pp</w:t>
            </w:r>
          </w:p>
        </w:tc>
      </w:tr>
      <w:tr>
        <w:tc>
          <w:tcPr>
            <w:tcW w:type="dxa" w:w="1123"/>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MCLD-9</w:t>
            </w:r>
          </w:p>
        </w:tc>
        <w:tc>
          <w:tcPr>
            <w:tcW w:type="dxa" w:w="1238"/>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t>vs C2</w:t>
            </w:r>
          </w:p>
        </w:tc>
        <w:tc>
          <w:tcPr>
            <w:tcW w:type="dxa" w:w="1728"/>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3.16 [2.59, 3.71] pp</w:t>
            </w:r>
          </w:p>
        </w:tc>
        <w:tc>
          <w:tcPr>
            <w:tcW w:type="dxa" w:w="1728"/>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0.0913 [0.0742, 0.1117]</w:t>
            </w:r>
          </w:p>
        </w:tc>
        <w:tc>
          <w:tcPr>
            <w:tcW w:type="dxa" w:w="1728"/>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0.0367 [0.0287, 0.0446]</w:t>
            </w:r>
          </w:p>
        </w:tc>
        <w:tc>
          <w:tcPr>
            <w:tcW w:type="dxa" w:w="1728"/>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3"/>
              </w:rPr>
            </w:r>
            <w:r>
              <w:rPr>
                <w:rFonts w:ascii="Times New Roman" w:hAnsi="Times New Roman" w:eastAsia="宋体"/>
                <w:b w:val="0"/>
                <w:sz w:val="13"/>
              </w:rPr>
              <w:t>-17.75 [-20.21, -15.25] pp</w:t>
            </w:r>
          </w:p>
        </w:tc>
      </w:tr>
    </w:tbl>
    <w:p>
      <w:pPr>
        <w:keepNext/>
        <w:spacing w:after="40"/>
        <w:ind w:firstLine="0"/>
        <w:jc w:val="center"/>
      </w:pPr>
      <w:r>
        <w:drawing>
          <wp:inline xmlns:a="http://schemas.openxmlformats.org/drawingml/2006/main" xmlns:pic="http://schemas.openxmlformats.org/drawingml/2006/picture">
            <wp:extent cx="5760720" cy="4159715"/>
            <wp:docPr id="31" name="Picture 31" title="External DINOv2 baseline and cross-representation comparison" descr="Four-panel Acc_kept versus Coverage comparison for public ImageNet-22K pretrained ConvNeXt and public DINOv2 settings on PV-Fruit, PV-Vegetable, MCLD-11 and MCLD-9. Both weights are traceable public releases; absolute differences are not interpreted as architecture causality because architecture, pretraining data and objectives differ."/>
            <wp:cNvGraphicFramePr>
              <a:graphicFrameLocks noChangeAspect="1"/>
            </wp:cNvGraphicFramePr>
            <a:graphic>
              <a:graphicData uri="http://schemas.openxmlformats.org/drawingml/2006/picture">
                <pic:pic>
                  <pic:nvPicPr>
                    <pic:cNvPr id="0" name="Fig07_External_DINOv2_Baseline.png"/>
                    <pic:cNvPicPr/>
                  </pic:nvPicPr>
                  <pic:blipFill>
                    <a:blip r:embed="rId41"/>
                    <a:stretch>
                      <a:fillRect/>
                    </a:stretch>
                  </pic:blipFill>
                  <pic:spPr>
                    <a:xfrm>
                      <a:off x="0" y="0"/>
                      <a:ext cx="5760720" cy="4159715"/>
                    </a:xfrm>
                    <a:prstGeom prst="rect"/>
                  </pic:spPr>
                </pic:pic>
              </a:graphicData>
            </a:graphic>
          </wp:inline>
        </w:drawing>
      </w:r>
    </w:p>
    <w:p>
      <w:pPr>
        <w:pStyle w:val="Caption"/>
        <w:keepNext w:val="0"/>
        <w:spacing w:before="60" w:after="160"/>
        <w:jc w:val="center"/>
      </w:pPr>
      <w:r>
        <w:t>图7  公开ImageNet-22K监督预训练ConvNeXt+UMAP+C3、DINOv2+KMeans与DINOv2+UMAP+C3在Acc_kept-Coverage平面中的比较。误差线为5个随机种子的样本标准差。两套权重均来自可追溯的公开发布；由于架构、预训练数据和预训练目标同时不同，绝对差异不解释为骨干架构的因果优劣。</w:t>
      </w:r>
    </w:p>
    <w:p>
      <w:pPr>
        <w:pStyle w:val="BodyText"/>
        <w:jc w:val="both"/>
      </w:pPr>
      <w:r>
        <w:t>本地ConvNeXt权重已通过SHA256确认与公开timm/convnext_xlarge.fb_in22k权重完全一致，因此其仓库、预训练数据和许可具有可追溯性。ConvNeXt与DINOv2之间的绝对差距仍只能视为两套完整公开预训练配置下的实验现象，不能用于推断单一骨干架构的因果优劣。DINOv2实验的关键机制性证据是：在同一公开自监督骨干内部，C3相对于KMeans和C2仍稳定提高复杂数据集上保留样本的Acc_kept、ARI_kept与NMI_kept。</w:t>
      </w:r>
    </w:p>
    <w:p>
      <w:pPr>
        <w:pStyle w:val="Heading2"/>
        <w:keepNext/>
      </w:pPr>
      <w:r>
        <w:rPr>
          <w:rFonts w:ascii="Arial" w:hAnsi="Arial" w:eastAsia="黑体"/>
          <w:b/>
          <w:sz w:val="26"/>
        </w:rPr>
        <w:t>4.8 类别级拒识与混淆分析</w:t>
      </w:r>
    </w:p>
    <w:p>
      <w:pPr>
        <w:pStyle w:val="Caption"/>
        <w:keepNext w:val="0"/>
        <w:jc w:val="center"/>
      </w:pPr>
      <w:r>
        <w:rPr>
          <w:rFonts w:ascii="Times New Roman" w:hAnsi="Times New Roman" w:eastAsia="宋体"/>
          <w:b w:val="0"/>
          <w:sz w:val="18"/>
        </w:rPr>
        <w:t>表9  5种子下Acc_kept最低的代表性类别。</w:t>
      </w:r>
    </w:p>
    <w:tbl>
      <w:tblPr>
        <w:tblW w:type="auto" w:w="0"/>
        <w:jc w:val="center"/>
        <w:tblLayout w:type="fixed"/>
        <w:tblLook w:firstColumn="1" w:firstRow="1" w:lastColumn="0" w:lastRow="0" w:noHBand="0" w:noVBand="1" w:val="04A0"/>
      </w:tblPr>
      <w:tblGrid>
        <w:gridCol w:w="2324"/>
        <w:gridCol w:w="2324"/>
        <w:gridCol w:w="2324"/>
        <w:gridCol w:w="2324"/>
      </w:tblGrid>
      <w:tr>
        <w:trPr>
          <w:tblHeader w:val="true"/>
        </w:trPr>
        <w:tc>
          <w:tcPr>
            <w:tcW w:type="dxa" w:w="1181"/>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数据集</w:t>
            </w:r>
          </w:p>
        </w:tc>
        <w:tc>
          <w:tcPr>
            <w:tcW w:type="dxa" w:w="3888"/>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类别</w:t>
            </w:r>
          </w:p>
        </w:tc>
        <w:tc>
          <w:tcPr>
            <w:tcW w:type="dxa" w:w="1325"/>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拒识率</w:t>
            </w:r>
          </w:p>
        </w:tc>
        <w:tc>
          <w:tcPr>
            <w:tcW w:type="dxa" w:w="1325"/>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t>Acc_kept</w:t>
            </w:r>
          </w:p>
        </w:tc>
      </w:tr>
      <w:tr>
        <w:tc>
          <w:tcPr>
            <w:tcW w:type="dxa" w:w="118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MCLD-9</w:t>
            </w:r>
          </w:p>
        </w:tc>
        <w:tc>
          <w:tcPr>
            <w:tcW w:type="dxa" w:w="388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Tomato - Verticillium wilt</w:t>
            </w:r>
          </w:p>
        </w:tc>
        <w:tc>
          <w:tcPr>
            <w:tcW w:type="dxa" w:w="132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26.24% ± 17.64%</w:t>
            </w:r>
          </w:p>
        </w:tc>
        <w:tc>
          <w:tcPr>
            <w:tcW w:type="dxa" w:w="132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66.12% ± 7.65%</w:t>
            </w:r>
          </w:p>
        </w:tc>
      </w:tr>
      <w:tr>
        <w:tc>
          <w:tcPr>
            <w:tcW w:type="dxa" w:w="118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MCLD-9</w:t>
            </w:r>
          </w:p>
        </w:tc>
        <w:tc>
          <w:tcPr>
            <w:tcW w:type="dxa" w:w="388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Rice - brown spot</w:t>
            </w:r>
          </w:p>
        </w:tc>
        <w:tc>
          <w:tcPr>
            <w:tcW w:type="dxa" w:w="132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0.00% ± 0.00%</w:t>
            </w:r>
          </w:p>
        </w:tc>
        <w:tc>
          <w:tcPr>
            <w:tcW w:type="dxa" w:w="132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83.14% ± 0.29%</w:t>
            </w:r>
          </w:p>
        </w:tc>
      </w:tr>
      <w:tr>
        <w:tc>
          <w:tcPr>
            <w:tcW w:type="dxa" w:w="118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MCLD-9</w:t>
            </w:r>
          </w:p>
        </w:tc>
        <w:tc>
          <w:tcPr>
            <w:tcW w:type="dxa" w:w="388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Corn - streak virus</w:t>
            </w:r>
          </w:p>
        </w:tc>
        <w:tc>
          <w:tcPr>
            <w:tcW w:type="dxa" w:w="132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11.18% ± 7.82%</w:t>
            </w:r>
          </w:p>
        </w:tc>
        <w:tc>
          <w:tcPr>
            <w:tcW w:type="dxa" w:w="132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83.71% ± 6.26%</w:t>
            </w:r>
          </w:p>
        </w:tc>
      </w:tr>
      <w:tr>
        <w:tc>
          <w:tcPr>
            <w:tcW w:type="dxa" w:w="118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MCLD-9</w:t>
            </w:r>
          </w:p>
        </w:tc>
        <w:tc>
          <w:tcPr>
            <w:tcW w:type="dxa" w:w="388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Corn - leaf blight</w:t>
            </w:r>
          </w:p>
        </w:tc>
        <w:tc>
          <w:tcPr>
            <w:tcW w:type="dxa" w:w="132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3.06% ± 2.08%</w:t>
            </w:r>
          </w:p>
        </w:tc>
        <w:tc>
          <w:tcPr>
            <w:tcW w:type="dxa" w:w="132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89.85% ± 0.72%</w:t>
            </w:r>
          </w:p>
        </w:tc>
      </w:tr>
      <w:tr>
        <w:tc>
          <w:tcPr>
            <w:tcW w:type="dxa" w:w="118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PV-Vegetable</w:t>
            </w:r>
          </w:p>
        </w:tc>
        <w:tc>
          <w:tcPr>
            <w:tcW w:type="dxa" w:w="388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Tomato - late blight</w:t>
            </w:r>
          </w:p>
        </w:tc>
        <w:tc>
          <w:tcPr>
            <w:tcW w:type="dxa" w:w="132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29.07% ± 29.64%</w:t>
            </w:r>
          </w:p>
        </w:tc>
        <w:tc>
          <w:tcPr>
            <w:tcW w:type="dxa" w:w="132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90.06% ± 24.14%</w:t>
            </w:r>
          </w:p>
        </w:tc>
      </w:tr>
      <w:tr>
        <w:tc>
          <w:tcPr>
            <w:tcW w:type="dxa" w:w="118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MCLD-9</w:t>
            </w:r>
          </w:p>
        </w:tc>
        <w:tc>
          <w:tcPr>
            <w:tcW w:type="dxa" w:w="388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Tomato - septoria leaf spot</w:t>
            </w:r>
          </w:p>
        </w:tc>
        <w:tc>
          <w:tcPr>
            <w:tcW w:type="dxa" w:w="132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24.92% ± 16.48%</w:t>
            </w:r>
          </w:p>
        </w:tc>
        <w:tc>
          <w:tcPr>
            <w:tcW w:type="dxa" w:w="132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93.48% ± 3.04%</w:t>
            </w:r>
          </w:p>
        </w:tc>
      </w:tr>
      <w:tr>
        <w:tc>
          <w:tcPr>
            <w:tcW w:type="dxa" w:w="118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PV-Vegetable</w:t>
            </w:r>
          </w:p>
        </w:tc>
        <w:tc>
          <w:tcPr>
            <w:tcW w:type="dxa" w:w="388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Tomato - yellow leaf curl virus</w:t>
            </w:r>
          </w:p>
        </w:tc>
        <w:tc>
          <w:tcPr>
            <w:tcW w:type="dxa" w:w="132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19.17% ± 12.39%</w:t>
            </w:r>
          </w:p>
        </w:tc>
        <w:tc>
          <w:tcPr>
            <w:tcW w:type="dxa" w:w="132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95.84% ± 0.59%</w:t>
            </w:r>
          </w:p>
        </w:tc>
      </w:tr>
      <w:tr>
        <w:tc>
          <w:tcPr>
            <w:tcW w:type="dxa" w:w="118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PV-Vegetable</w:t>
            </w:r>
          </w:p>
        </w:tc>
        <w:tc>
          <w:tcPr>
            <w:tcW w:type="dxa" w:w="388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Tomato - septoria leaf spot</w:t>
            </w:r>
          </w:p>
        </w:tc>
        <w:tc>
          <w:tcPr>
            <w:tcW w:type="dxa" w:w="132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20.03% ± 20.39%</w:t>
            </w:r>
          </w:p>
        </w:tc>
        <w:tc>
          <w:tcPr>
            <w:tcW w:type="dxa" w:w="132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98.56% ± 0.28%</w:t>
            </w:r>
          </w:p>
        </w:tc>
      </w:tr>
      <w:tr>
        <w:tc>
          <w:tcPr>
            <w:tcW w:type="dxa" w:w="118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PV-Fruit</w:t>
            </w:r>
          </w:p>
        </w:tc>
        <w:tc>
          <w:tcPr>
            <w:tcW w:type="dxa" w:w="388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Apple - apple scab</w:t>
            </w:r>
          </w:p>
        </w:tc>
        <w:tc>
          <w:tcPr>
            <w:tcW w:type="dxa" w:w="132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0.00% ± 0.00%</w:t>
            </w:r>
          </w:p>
        </w:tc>
        <w:tc>
          <w:tcPr>
            <w:tcW w:type="dxa" w:w="1325"/>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99.05% ± 0.00%</w:t>
            </w:r>
          </w:p>
        </w:tc>
      </w:tr>
      <w:tr>
        <w:tc>
          <w:tcPr>
            <w:tcW w:type="dxa" w:w="1181"/>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MCLD-9</w:t>
            </w:r>
          </w:p>
        </w:tc>
        <w:tc>
          <w:tcPr>
            <w:tcW w:type="dxa" w:w="3888"/>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Rice - bacterial leaf blight</w:t>
            </w:r>
          </w:p>
        </w:tc>
        <w:tc>
          <w:tcPr>
            <w:tcW w:type="dxa" w:w="1325"/>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0.55% ± 0.56%</w:t>
            </w:r>
          </w:p>
        </w:tc>
        <w:tc>
          <w:tcPr>
            <w:tcW w:type="dxa" w:w="1325"/>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99.39% ± 0.00%</w:t>
            </w:r>
          </w:p>
        </w:tc>
      </w:tr>
    </w:tbl>
    <w:p>
      <w:pPr>
        <w:pStyle w:val="BodyText"/>
        <w:jc w:val="both"/>
      </w:pPr>
      <w:r>
        <w:rPr>
          <w:rFonts w:ascii="Times New Roman" w:hAnsi="Times New Roman" w:eastAsia="宋体"/>
          <w:i w:val="0"/>
          <w:sz w:val="21"/>
        </w:rPr>
        <w:t>Tomato - Verticillium wilt是MCLD-9中最明显的薄弱类别，Acc_kept约66%，且拒识率与跨种子波动较大。Rice - brown spot几乎不被拒识，但Acc_kept约83%，说明共识拒识不能捕捉全部稳定错误。PV-Vegetable中的Tomato - late blight跨种子波动较大，提示UMAP与聚类初始化会改变局部结构。聚类一致性应被视为结构稳定性信号，而不是病害语义正确性的充分条件。</w:t>
      </w:r>
    </w:p>
    <w:p>
      <w:pPr>
        <w:keepNext/>
        <w:spacing w:after="40"/>
        <w:ind w:firstLine="0"/>
        <w:jc w:val="center"/>
      </w:pPr>
      <w:r>
        <w:drawing>
          <wp:inline xmlns:a="http://schemas.openxmlformats.org/drawingml/2006/main" xmlns:pic="http://schemas.openxmlformats.org/drawingml/2006/picture">
            <wp:extent cx="5760720" cy="3233500"/>
            <wp:docPr id="28" name="Figure 8" title="Figure 8" descr="Horizontal bars of Acc_kept and diamond markers of rejection rate for representative weak or high-rejection classes."/>
            <wp:cNvGraphicFramePr>
              <a:graphicFrameLocks noChangeAspect="1"/>
            </wp:cNvGraphicFramePr>
            <a:graphic>
              <a:graphicData uri="http://schemas.openxmlformats.org/drawingml/2006/picture">
                <pic:pic>
                  <pic:nvPicPr>
                    <pic:cNvPr id="0" name="Fig08_Weak_and_HighRejection_Classes.png"/>
                    <pic:cNvPicPr/>
                  </pic:nvPicPr>
                  <pic:blipFill>
                    <a:blip r:embed="rId38"/>
                    <a:stretch>
                      <a:fillRect/>
                    </a:stretch>
                  </pic:blipFill>
                  <pic:spPr>
                    <a:xfrm>
                      <a:off x="0" y="0"/>
                      <a:ext cx="5760720" cy="3233500"/>
                    </a:xfrm>
                    <a:prstGeom prst="rect"/>
                  </pic:spPr>
                </pic:pic>
              </a:graphicData>
            </a:graphic>
          </wp:inline>
        </w:drawing>
      </w:r>
    </w:p>
    <w:p>
      <w:pPr>
        <w:pStyle w:val="Caption"/>
        <w:keepNext w:val="0"/>
        <w:spacing w:before="60" w:after="160"/>
        <w:jc w:val="center"/>
      </w:pPr>
      <w:r>
        <w:rPr>
          <w:sz w:val="18"/>
        </w:rPr>
        <w:t>图8  C3设置下代表性薄弱或高拒识类别的Acc_kept和拒识率。两项指标分别表示保留样本事后对齐质量与被拒识比例，不能相互替代。</w:t>
      </w:r>
    </w:p>
    <w:p>
      <w:pPr>
        <w:keepNext/>
        <w:spacing w:after="40"/>
        <w:ind w:firstLine="0"/>
        <w:jc w:val="center"/>
      </w:pPr>
      <w:r>
        <w:drawing>
          <wp:inline xmlns:a="http://schemas.openxmlformats.org/drawingml/2006/main" xmlns:pic="http://schemas.openxmlformats.org/drawingml/2006/picture">
            <wp:extent cx="5897880" cy="2888073"/>
            <wp:docPr id="29" name="Figure 9" title="Figure 9" descr="Row-normalized confusion matrices for C3-retained samples on PV-Vegetable and MCLD-9."/>
            <wp:cNvGraphicFramePr>
              <a:graphicFrameLocks noChangeAspect="1"/>
            </wp:cNvGraphicFramePr>
            <a:graphic>
              <a:graphicData uri="http://schemas.openxmlformats.org/drawingml/2006/picture">
                <pic:pic>
                  <pic:nvPicPr>
                    <pic:cNvPr id="0" name="Fig09_Retained_Sample_Confusion_Matrices.png"/>
                    <pic:cNvPicPr/>
                  </pic:nvPicPr>
                  <pic:blipFill>
                    <a:blip r:embed="rId39"/>
                    <a:stretch>
                      <a:fillRect/>
                    </a:stretch>
                  </pic:blipFill>
                  <pic:spPr>
                    <a:xfrm>
                      <a:off x="0" y="0"/>
                      <a:ext cx="5897880" cy="2888073"/>
                    </a:xfrm>
                    <a:prstGeom prst="rect"/>
                  </pic:spPr>
                </pic:pic>
              </a:graphicData>
            </a:graphic>
          </wp:inline>
        </w:drawing>
      </w:r>
    </w:p>
    <w:p>
      <w:pPr>
        <w:pStyle w:val="Caption"/>
        <w:keepNext w:val="0"/>
        <w:spacing w:before="60" w:after="160"/>
        <w:jc w:val="center"/>
      </w:pPr>
      <w:r>
        <w:rPr>
          <w:sz w:val="18"/>
        </w:rPr>
        <w:t>图9  PV-Vegetable和MCLD-9中C3保留样本的5种子平均按真实类别行归一化混淆矩阵。</w:t>
      </w:r>
    </w:p>
    <w:p>
      <w:pPr>
        <w:pStyle w:val="Heading2"/>
        <w:keepNext/>
      </w:pPr>
      <w:r>
        <w:rPr>
          <w:rFonts w:ascii="Arial" w:hAnsi="Arial" w:eastAsia="黑体"/>
          <w:b/>
          <w:sz w:val="26"/>
        </w:rPr>
        <w:t>4.9 离散风险—覆盖率操作点</w:t>
      </w:r>
    </w:p>
    <w:p>
      <w:pPr>
        <w:pStyle w:val="BodyText"/>
        <w:jc w:val="both"/>
      </w:pPr>
      <w:r>
        <w:rPr>
          <w:rFonts w:ascii="Times New Roman" w:hAnsi="Times New Roman" w:eastAsia="宋体"/>
          <w:i w:val="0"/>
          <w:sz w:val="21"/>
        </w:rPr>
        <w:t>PV-Vegetable中KMeans和C2的覆盖率接近100%，选择性风险分别约3.82%和3.78%；C3将覆盖率降至89.99%，风险降至2.15%。MCLD-9中C3以90.61%的覆盖率将风险由KMeans的12.14%降至9.28%，并优于同覆盖率KMeans距离拒识的10.75%。PV-Fruit中各策略风险几乎相同，C3主要造成覆盖率损失。当前结果为若干离散操作点，不构成连续风险—覆盖率曲线，也不报告AURC。</w:t>
      </w:r>
    </w:p>
    <w:p>
      <w:pPr>
        <w:keepNext/>
        <w:spacing w:after="40"/>
        <w:ind w:firstLine="0"/>
        <w:jc w:val="center"/>
      </w:pPr>
      <w:r>
        <w:drawing>
          <wp:inline xmlns:a="http://schemas.openxmlformats.org/drawingml/2006/main" xmlns:pic="http://schemas.openxmlformats.org/drawingml/2006/picture">
            <wp:extent cx="5806440" cy="4313539"/>
            <wp:docPr id="30" name="Figure 10" title="Figure 10" descr="Four-panel discrete selective-risk versus Coverage operating points for KMeans, C2, C3 and distance rejection."/>
            <wp:cNvGraphicFramePr>
              <a:graphicFrameLocks noChangeAspect="1"/>
            </wp:cNvGraphicFramePr>
            <a:graphic>
              <a:graphicData uri="http://schemas.openxmlformats.org/drawingml/2006/picture">
                <pic:pic>
                  <pic:nvPicPr>
                    <pic:cNvPr id="0" name="Fig10_Discrete_Risk_Coverage_Points.png"/>
                    <pic:cNvPicPr/>
                  </pic:nvPicPr>
                  <pic:blipFill>
                    <a:blip r:embed="rId40"/>
                    <a:stretch>
                      <a:fillRect/>
                    </a:stretch>
                  </pic:blipFill>
                  <pic:spPr>
                    <a:xfrm>
                      <a:off x="0" y="0"/>
                      <a:ext cx="5806440" cy="4313539"/>
                    </a:xfrm>
                    <a:prstGeom prst="rect"/>
                  </pic:spPr>
                </pic:pic>
              </a:graphicData>
            </a:graphic>
          </wp:inline>
        </w:drawing>
      </w:r>
    </w:p>
    <w:p>
      <w:pPr>
        <w:pStyle w:val="Caption"/>
        <w:keepNext w:val="0"/>
        <w:spacing w:before="60" w:after="160"/>
        <w:jc w:val="center"/>
      </w:pPr>
      <w:r>
        <w:rPr>
          <w:sz w:val="18"/>
        </w:rPr>
        <w:t>图10  KMeans、二取三多数共识（C2）、三算法严格共识（C3）和KMeans距离拒识的离散选择性风险—Coverage操作点；这些离散点不用于计算连续AURC。</w:t>
      </w:r>
    </w:p>
    <w:p>
      <w:pPr>
        <w:pStyle w:val="Heading2"/>
        <w:keepNext/>
      </w:pPr>
      <w:r>
        <w:rPr>
          <w:rFonts w:ascii="Arial" w:hAnsi="Arial" w:eastAsia="黑体"/>
          <w:b/>
          <w:sz w:val="26"/>
        </w:rPr>
        <w:t>4.10 MCLD-11与MCLD-9对照</w:t>
      </w:r>
    </w:p>
    <w:p>
      <w:pPr>
        <w:pStyle w:val="Caption"/>
        <w:keepNext w:val="0"/>
        <w:jc w:val="center"/>
      </w:pPr>
      <w:r>
        <w:rPr>
          <w:rFonts w:ascii="Times New Roman" w:hAnsi="Times New Roman" w:eastAsia="宋体"/>
          <w:b w:val="0"/>
          <w:sz w:val="18"/>
        </w:rPr>
        <w:t>表10  完整11类MCLD-11与预先整理9类子集的对照。</w:t>
      </w:r>
    </w:p>
    <w:tbl>
      <w:tblPr>
        <w:tblW w:type="auto" w:w="0"/>
        <w:jc w:val="center"/>
        <w:tblLayout w:type="fixed"/>
        <w:tblLook w:firstColumn="1" w:firstRow="1" w:lastColumn="0" w:lastRow="0" w:noHBand="0" w:noVBand="1" w:val="04A0"/>
      </w:tblPr>
      <w:tblGrid>
        <w:gridCol w:w="1162"/>
        <w:gridCol w:w="1162"/>
        <w:gridCol w:w="1162"/>
        <w:gridCol w:w="1162"/>
        <w:gridCol w:w="1162"/>
        <w:gridCol w:w="1162"/>
        <w:gridCol w:w="1162"/>
        <w:gridCol w:w="1162"/>
      </w:tblGrid>
      <w:tr>
        <w:trPr>
          <w:tblHeader w:val="true"/>
        </w:trPr>
        <w:tc>
          <w:tcPr>
            <w:tcW w:type="dxa" w:w="893"/>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版本</w:t>
            </w:r>
          </w:p>
        </w:tc>
        <w:tc>
          <w:tcPr>
            <w:tcW w:type="dxa" w:w="778"/>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类别数</w:t>
            </w:r>
          </w:p>
        </w:tc>
        <w:tc>
          <w:tcPr>
            <w:tcW w:type="dxa" w:w="1008"/>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样本数</w:t>
            </w:r>
          </w:p>
        </w:tc>
        <w:tc>
          <w:tcPr>
            <w:tcW w:type="dxa" w:w="1094"/>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t>Acc_kept</w:t>
            </w:r>
          </w:p>
        </w:tc>
        <w:tc>
          <w:tcPr>
            <w:tcW w:type="dxa" w:w="1094"/>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before="0" w:after="0" w:line="240" w:lineRule="auto"/>
              <w:jc w:val="center"/>
            </w:pPr>
            <w:r>
              <w:rPr>
                <w:rFonts w:ascii="Times New Roman" w:hAnsi="Times New Roman" w:eastAsia="宋体"/>
                <w:b/>
                <w:sz w:val="15"/>
              </w:rPr>
              <w:t>Coverage</w:t>
            </w:r>
          </w:p>
        </w:tc>
        <w:tc>
          <w:tcPr>
            <w:tcW w:type="dxa" w:w="1440"/>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保守全样本准确率</w:t>
            </w:r>
          </w:p>
        </w:tc>
        <w:tc>
          <w:tcPr>
            <w:tcW w:type="dxa" w:w="1008"/>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ARI_kept</w:t>
            </w:r>
          </w:p>
        </w:tc>
        <w:tc>
          <w:tcPr>
            <w:tcW w:type="dxa" w:w="1008"/>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NMI_kept</w:t>
            </w:r>
          </w:p>
        </w:tc>
      </w:tr>
      <w:tr>
        <w:tc>
          <w:tcPr>
            <w:tcW w:type="dxa" w:w="893"/>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MCLD-11</w:t>
            </w:r>
          </w:p>
        </w:tc>
        <w:tc>
          <w:tcPr>
            <w:tcW w:type="dxa" w:w="77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11</w:t>
            </w:r>
          </w:p>
        </w:tc>
        <w:tc>
          <w:tcPr>
            <w:tcW w:type="dxa" w:w="100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4,842</w:t>
            </w:r>
          </w:p>
        </w:tc>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87.38% ± 0.76%</w:t>
            </w:r>
          </w:p>
        </w:tc>
        <w:tc>
          <w:tcPr>
            <w:tcW w:type="dxa" w:w="109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81.09% ± 0.89%</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70.86% ± 0.84%</w:t>
            </w:r>
          </w:p>
        </w:tc>
        <w:tc>
          <w:tcPr>
            <w:tcW w:type="dxa" w:w="100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0.600 ± 0.011</w:t>
            </w:r>
          </w:p>
        </w:tc>
        <w:tc>
          <w:tcPr>
            <w:tcW w:type="dxa" w:w="100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0.794 ± 0.004</w:t>
            </w:r>
          </w:p>
        </w:tc>
      </w:tr>
      <w:tr>
        <w:tc>
          <w:tcPr>
            <w:tcW w:type="dxa" w:w="893"/>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MCLD-9</w:t>
            </w:r>
          </w:p>
        </w:tc>
        <w:tc>
          <w:tcPr>
            <w:tcW w:type="dxa" w:w="778"/>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9</w:t>
            </w:r>
          </w:p>
        </w:tc>
        <w:tc>
          <w:tcPr>
            <w:tcW w:type="dxa" w:w="1008"/>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4,440</w:t>
            </w:r>
          </w:p>
        </w:tc>
        <w:tc>
          <w:tcPr>
            <w:tcW w:type="dxa" w:w="1094"/>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90.72% ± 1.48%</w:t>
            </w:r>
          </w:p>
        </w:tc>
        <w:tc>
          <w:tcPr>
            <w:tcW w:type="dxa" w:w="1094"/>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90.61% ± 5.05%</w:t>
            </w:r>
          </w:p>
        </w:tc>
        <w:tc>
          <w:tcPr>
            <w:tcW w:type="dxa" w:w="1440"/>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82.14% ± 3.23%</w:t>
            </w:r>
          </w:p>
        </w:tc>
        <w:tc>
          <w:tcPr>
            <w:tcW w:type="dxa" w:w="1008"/>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0.578 ± 0.039</w:t>
            </w:r>
          </w:p>
        </w:tc>
        <w:tc>
          <w:tcPr>
            <w:tcW w:type="dxa" w:w="1008"/>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0.782 ± 0.019</w:t>
            </w:r>
          </w:p>
        </w:tc>
      </w:tr>
    </w:tbl>
    <w:p>
      <w:pPr>
        <w:pStyle w:val="BodyText"/>
        <w:jc w:val="both"/>
      </w:pPr>
      <w:r>
        <w:rPr>
          <w:rFonts w:ascii="Times New Roman" w:hAnsi="Times New Roman" w:eastAsia="宋体"/>
          <w:i w:val="0"/>
          <w:sz w:val="21"/>
        </w:rPr>
        <w:t>MCLD-9的Acc_kept和Coverage高于MCLD-11，但MCLD-11的ARI_kept和NMI_kept略高，说明9类子集并非在全部聚类结构指标上全面更优。两组结果并列报告，避免将9类版本描述为纠错后的唯一有效数据，也不以模型准确率作为类别排除理由。</w:t>
      </w:r>
    </w:p>
    <w:p>
      <w:pPr>
        <w:pStyle w:val="Heading2"/>
        <w:keepNext/>
      </w:pPr>
      <w:r>
        <w:rPr>
          <w:rFonts w:ascii="Arial" w:hAnsi="Arial" w:eastAsia="黑体"/>
          <w:b/>
          <w:sz w:val="26"/>
        </w:rPr>
        <w:t>4.11 运行时间</w:t>
      </w:r>
    </w:p>
    <w:p>
      <w:pPr>
        <w:pStyle w:val="Caption"/>
        <w:keepNext w:val="0"/>
        <w:jc w:val="center"/>
      </w:pPr>
      <w:r>
        <w:rPr>
          <w:rFonts w:ascii="Times New Roman" w:hAnsi="Times New Roman" w:eastAsia="宋体"/>
          <w:b w:val="0"/>
          <w:sz w:val="18"/>
        </w:rPr>
        <w:t>表11  PV-Vegetable、seed=11的代表性流程耗时。</w:t>
      </w:r>
    </w:p>
    <w:tbl>
      <w:tblPr>
        <w:tblW w:type="auto" w:w="0"/>
        <w:jc w:val="center"/>
        <w:tblLayout w:type="fixed"/>
        <w:tblLook w:firstColumn="1" w:firstRow="1" w:lastColumn="0" w:lastRow="0" w:noHBand="0" w:noVBand="1" w:val="04A0"/>
      </w:tblPr>
      <w:tblGrid>
        <w:gridCol w:w="4649"/>
        <w:gridCol w:w="4649"/>
      </w:tblGrid>
      <w:tr>
        <w:trPr>
          <w:tblHeader w:val="true"/>
        </w:trPr>
        <w:tc>
          <w:tcPr>
            <w:tcW w:type="dxa" w:w="5616"/>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6"/>
              </w:rPr>
            </w:r>
            <w:r>
              <w:rPr>
                <w:rFonts w:ascii="Times New Roman" w:hAnsi="Times New Roman" w:eastAsia="宋体"/>
                <w:b/>
                <w:sz w:val="16"/>
              </w:rPr>
              <w:t>阶段</w:t>
            </w:r>
          </w:p>
        </w:tc>
        <w:tc>
          <w:tcPr>
            <w:tcW w:type="dxa" w:w="3024"/>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6"/>
              </w:rPr>
            </w:r>
            <w:r>
              <w:rPr>
                <w:rFonts w:ascii="Times New Roman" w:hAnsi="Times New Roman" w:eastAsia="宋体"/>
                <w:b/>
                <w:sz w:val="16"/>
              </w:rPr>
              <w:t>耗时</w:t>
            </w:r>
          </w:p>
        </w:tc>
      </w:tr>
      <w:tr>
        <w:tc>
          <w:tcPr>
            <w:tcW w:type="dxa" w:w="561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5"/>
              </w:rPr>
            </w:r>
            <w:r>
              <w:rPr>
                <w:rFonts w:ascii="Times New Roman" w:hAnsi="Times New Roman" w:eastAsia="宋体"/>
                <w:b w:val="0"/>
                <w:sz w:val="15"/>
              </w:rPr>
              <w:t>ConvNeXt feature extraction</w:t>
            </w:r>
          </w:p>
        </w:tc>
        <w:tc>
          <w:tcPr>
            <w:tcW w:type="dxa" w:w="30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5"/>
              </w:rPr>
            </w:r>
            <w:r>
              <w:rPr>
                <w:rFonts w:ascii="Times New Roman" w:hAnsi="Times New Roman" w:eastAsia="宋体"/>
                <w:b w:val="0"/>
                <w:sz w:val="15"/>
              </w:rPr>
              <w:t>93.68 s</w:t>
            </w:r>
          </w:p>
        </w:tc>
      </w:tr>
      <w:tr>
        <w:tc>
          <w:tcPr>
            <w:tcW w:type="dxa" w:w="561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5"/>
              </w:rPr>
            </w:r>
            <w:r>
              <w:rPr>
                <w:rFonts w:ascii="Times New Roman" w:hAnsi="Times New Roman" w:eastAsia="宋体"/>
                <w:b w:val="0"/>
                <w:sz w:val="15"/>
              </w:rPr>
              <w:t>UMAP 100D fitting and transform</w:t>
            </w:r>
          </w:p>
        </w:tc>
        <w:tc>
          <w:tcPr>
            <w:tcW w:type="dxa" w:w="30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5"/>
              </w:rPr>
            </w:r>
            <w:r>
              <w:rPr>
                <w:rFonts w:ascii="Times New Roman" w:hAnsi="Times New Roman" w:eastAsia="宋体"/>
                <w:b w:val="0"/>
                <w:sz w:val="15"/>
              </w:rPr>
              <w:t>23.67 s</w:t>
            </w:r>
          </w:p>
        </w:tc>
      </w:tr>
      <w:tr>
        <w:tc>
          <w:tcPr>
            <w:tcW w:type="dxa" w:w="561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5"/>
              </w:rPr>
            </w:r>
            <w:r>
              <w:rPr>
                <w:rFonts w:ascii="Times New Roman" w:hAnsi="Times New Roman" w:eastAsia="宋体"/>
                <w:b w:val="0"/>
                <w:sz w:val="15"/>
              </w:rPr>
              <w:t>KMeans clustering</w:t>
            </w:r>
          </w:p>
        </w:tc>
        <w:tc>
          <w:tcPr>
            <w:tcW w:type="dxa" w:w="30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5"/>
              </w:rPr>
            </w:r>
            <w:r>
              <w:rPr>
                <w:rFonts w:ascii="Times New Roman" w:hAnsi="Times New Roman" w:eastAsia="宋体"/>
                <w:b w:val="0"/>
                <w:sz w:val="15"/>
              </w:rPr>
              <w:t>0.70 s</w:t>
            </w:r>
          </w:p>
        </w:tc>
      </w:tr>
      <w:tr>
        <w:tc>
          <w:tcPr>
            <w:tcW w:type="dxa" w:w="561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5"/>
              </w:rPr>
            </w:r>
            <w:r>
              <w:rPr>
                <w:rFonts w:ascii="Times New Roman" w:hAnsi="Times New Roman" w:eastAsia="宋体"/>
                <w:b w:val="0"/>
                <w:sz w:val="15"/>
              </w:rPr>
              <w:t>Birch clustering</w:t>
            </w:r>
          </w:p>
        </w:tc>
        <w:tc>
          <w:tcPr>
            <w:tcW w:type="dxa" w:w="30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5"/>
              </w:rPr>
            </w:r>
            <w:r>
              <w:rPr>
                <w:rFonts w:ascii="Times New Roman" w:hAnsi="Times New Roman" w:eastAsia="宋体"/>
                <w:b w:val="0"/>
                <w:sz w:val="15"/>
              </w:rPr>
              <w:t>0.57 s</w:t>
            </w:r>
          </w:p>
        </w:tc>
      </w:tr>
      <w:tr>
        <w:tc>
          <w:tcPr>
            <w:tcW w:type="dxa" w:w="561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5"/>
              </w:rPr>
            </w:r>
            <w:r>
              <w:rPr>
                <w:rFonts w:ascii="Times New Roman" w:hAnsi="Times New Roman" w:eastAsia="宋体"/>
                <w:b w:val="0"/>
                <w:sz w:val="15"/>
              </w:rPr>
              <w:t>Agglomerative clustering</w:t>
            </w:r>
          </w:p>
        </w:tc>
        <w:tc>
          <w:tcPr>
            <w:tcW w:type="dxa" w:w="30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5"/>
              </w:rPr>
            </w:r>
            <w:r>
              <w:rPr>
                <w:rFonts w:ascii="Times New Roman" w:hAnsi="Times New Roman" w:eastAsia="宋体"/>
                <w:b w:val="0"/>
                <w:sz w:val="15"/>
              </w:rPr>
              <w:t>11.12 s</w:t>
            </w:r>
          </w:p>
        </w:tc>
      </w:tr>
      <w:tr>
        <w:tc>
          <w:tcPr>
            <w:tcW w:type="dxa" w:w="561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5"/>
              </w:rPr>
            </w:r>
            <w:r>
              <w:rPr>
                <w:rFonts w:ascii="Times New Roman" w:hAnsi="Times New Roman" w:eastAsia="宋体"/>
                <w:b w:val="0"/>
                <w:sz w:val="15"/>
              </w:rPr>
              <w:t>Hungarian cluster alignment</w:t>
            </w:r>
          </w:p>
        </w:tc>
        <w:tc>
          <w:tcPr>
            <w:tcW w:type="dxa" w:w="30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5"/>
              </w:rPr>
            </w:r>
            <w:r>
              <w:rPr>
                <w:rFonts w:ascii="Times New Roman" w:hAnsi="Times New Roman" w:eastAsia="宋体"/>
                <w:b w:val="0"/>
                <w:sz w:val="15"/>
              </w:rPr>
              <w:t>0.11 s</w:t>
            </w:r>
          </w:p>
        </w:tc>
      </w:tr>
      <w:tr>
        <w:tc>
          <w:tcPr>
            <w:tcW w:type="dxa" w:w="561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5"/>
              </w:rPr>
            </w:r>
            <w:r>
              <w:rPr>
                <w:rFonts w:ascii="Times New Roman" w:hAnsi="Times New Roman" w:eastAsia="宋体"/>
                <w:b w:val="0"/>
                <w:sz w:val="15"/>
              </w:rPr>
              <w:t>Consensus and rejection masks</w:t>
            </w:r>
          </w:p>
        </w:tc>
        <w:tc>
          <w:tcPr>
            <w:tcW w:type="dxa" w:w="30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5"/>
              </w:rPr>
            </w:r>
            <w:r>
              <w:rPr>
                <w:rFonts w:ascii="Times New Roman" w:hAnsi="Times New Roman" w:eastAsia="宋体"/>
                <w:b w:val="0"/>
                <w:sz w:val="15"/>
              </w:rPr>
              <w:t>0.05 s</w:t>
            </w:r>
          </w:p>
        </w:tc>
      </w:tr>
      <w:tr>
        <w:tc>
          <w:tcPr>
            <w:tcW w:type="dxa" w:w="561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5"/>
              </w:rPr>
            </w:r>
            <w:r>
              <w:rPr>
                <w:rFonts w:ascii="Times New Roman" w:hAnsi="Times New Roman" w:eastAsia="宋体"/>
                <w:b w:val="0"/>
                <w:sz w:val="15"/>
              </w:rPr>
              <w:t>Post-hoc mapping and evaluation</w:t>
            </w:r>
          </w:p>
        </w:tc>
        <w:tc>
          <w:tcPr>
            <w:tcW w:type="dxa" w:w="30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5"/>
              </w:rPr>
            </w:r>
            <w:r>
              <w:rPr>
                <w:rFonts w:ascii="Times New Roman" w:hAnsi="Times New Roman" w:eastAsia="宋体"/>
                <w:b w:val="0"/>
                <w:sz w:val="15"/>
              </w:rPr>
              <w:t>0.05 s</w:t>
            </w:r>
          </w:p>
        </w:tc>
      </w:tr>
      <w:tr>
        <w:tc>
          <w:tcPr>
            <w:tcW w:type="dxa" w:w="561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5"/>
              </w:rPr>
            </w:r>
            <w:r>
              <w:rPr>
                <w:rFonts w:ascii="Times New Roman" w:hAnsi="Times New Roman" w:eastAsia="宋体"/>
                <w:b w:val="0"/>
                <w:sz w:val="15"/>
              </w:rPr>
              <w:t>Total measured pipeline</w:t>
            </w:r>
          </w:p>
        </w:tc>
        <w:tc>
          <w:tcPr>
            <w:tcW w:type="dxa" w:w="30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5"/>
              </w:rPr>
            </w:r>
            <w:r>
              <w:rPr>
                <w:rFonts w:ascii="Times New Roman" w:hAnsi="Times New Roman" w:eastAsia="宋体"/>
                <w:b w:val="0"/>
                <w:sz w:val="15"/>
              </w:rPr>
              <w:t>129.94 s</w:t>
            </w:r>
          </w:p>
        </w:tc>
      </w:tr>
      <w:tr>
        <w:tc>
          <w:tcPr>
            <w:tcW w:type="dxa" w:w="5616"/>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5"/>
              </w:rPr>
            </w:r>
            <w:r>
              <w:rPr>
                <w:rFonts w:ascii="Times New Roman" w:hAnsi="Times New Roman" w:eastAsia="宋体"/>
                <w:b w:val="0"/>
                <w:sz w:val="15"/>
              </w:rPr>
              <w:t>Per-image ConvNeXt feature time</w:t>
            </w:r>
          </w:p>
        </w:tc>
        <w:tc>
          <w:tcPr>
            <w:tcW w:type="dxa" w:w="3024"/>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5"/>
              </w:rPr>
            </w:r>
            <w:r>
              <w:rPr>
                <w:rFonts w:ascii="Times New Roman" w:hAnsi="Times New Roman" w:eastAsia="宋体"/>
                <w:b w:val="0"/>
                <w:sz w:val="15"/>
              </w:rPr>
              <w:t>4.63 ms/image</w:t>
            </w:r>
          </w:p>
        </w:tc>
      </w:tr>
    </w:tbl>
    <w:p>
      <w:pPr>
        <w:pStyle w:val="BodyText"/>
        <w:jc w:val="both"/>
      </w:pPr>
      <w:r>
        <w:rPr>
          <w:rFonts w:ascii="Times New Roman" w:hAnsi="Times New Roman" w:eastAsia="宋体"/>
          <w:i w:val="0"/>
          <w:sz w:val="21"/>
        </w:rPr>
        <w:t>计时服务器包含两张NVIDIA GeForce RTX 4090，PyTorch特征提取使用默认CUDA设备，GPU0显存占用约3.3 GB；UMAP与三种聚类使用CPU版umap-learn/scikit-learn。完整测量流程约2.17 min，其中主要时间来自特征提取和UMAP。该计时为单个seed的代表性运行，不与5种子平均性能混用。</w:t>
      </w:r>
    </w:p>
    <w:p>
      <w:pPr>
        <w:pStyle w:val="Heading1"/>
        <w:keepNext/>
      </w:pPr>
      <w:r>
        <w:rPr>
          <w:rFonts w:ascii="Arial" w:hAnsi="Arial" w:eastAsia="黑体"/>
          <w:b/>
          <w:sz w:val="32"/>
        </w:rPr>
        <w:t>5 讨论</w:t>
      </w:r>
    </w:p>
    <w:p>
      <w:pPr>
        <w:pStyle w:val="Heading2"/>
        <w:keepNext/>
      </w:pPr>
      <w:r>
        <w:rPr>
          <w:rFonts w:ascii="Arial" w:hAnsi="Arial" w:eastAsia="黑体"/>
          <w:b/>
          <w:sz w:val="26"/>
        </w:rPr>
        <w:t>5.1 共识拒识为何能够提高保留样本质量</w:t>
      </w:r>
    </w:p>
    <w:p>
      <w:pPr>
        <w:pStyle w:val="BodyText"/>
        <w:jc w:val="both"/>
      </w:pPr>
      <w:r>
        <w:t>KMeans、Birch和Agglomerative对数据结构具有不同归纳偏好。若样本在三种假设下均落入同一对齐簇，其局部邻域与簇归属对算法变化更稳定。PV-Vegetable和MCLD数据中，C3相对于随机同覆盖率拒识、距离拒识和C2提高了Acc_kept及结构指标；DINOv2骨干内的配对Bootstrap进一步表明这一现象不只出现在单一公开预训练视觉表征设置下。</w:t>
      </w:r>
    </w:p>
    <w:p>
      <w:pPr>
        <w:pStyle w:val="BodyText"/>
        <w:jc w:val="both"/>
      </w:pPr>
      <w:r>
        <w:rPr>
          <w:rFonts w:ascii="Times New Roman" w:hAnsi="Times New Roman" w:eastAsia="宋体"/>
          <w:i w:val="0"/>
          <w:sz w:val="21"/>
        </w:rPr>
        <w:t>但共识不是语义正确性的充分条件。不同算法可能共同形成稳定却与真实病害类别不一致的视觉簇，Rice - brown spot的低拒识与中等Acc_kept就是典型例子。因此，共识更适合作为“结构稳定性过滤器”，不能替代病理语义验证。</w:t>
      </w:r>
    </w:p>
    <w:p>
      <w:pPr>
        <w:pStyle w:val="Heading2"/>
        <w:keepNext/>
      </w:pPr>
      <w:r>
        <w:rPr>
          <w:rFonts w:ascii="Arial" w:hAnsi="Arial" w:eastAsia="黑体"/>
          <w:b/>
          <w:sz w:val="26"/>
        </w:rPr>
        <w:t>5.2 多数据集结果支持的是适用性与稳健性，而非强归纳泛化</w:t>
      </w:r>
    </w:p>
    <w:p>
      <w:pPr>
        <w:pStyle w:val="BodyText"/>
        <w:jc w:val="both"/>
      </w:pPr>
      <w:r>
        <w:rPr>
          <w:rFonts w:ascii="Arial" w:hAnsi="Arial" w:eastAsia="宋体"/>
        </w:rPr>
        <w:t>PV-Fruit和PV-Vegetable的划分验证了同一PlantVillage来源内，框架并非只在水果或蔬菜单一作物群组上有效。独立来源的MCLD-11和MCLD-9结果进一步支持其面对不同类别组成与图像分布时仍具有跨数据集稳健性。DFLD-BR-4说明框架也能处理作物种类视觉聚类，但由于其标签不是病害类别，不能用来证明病害诊断泛化。该递进式设计与现有数据集研究的共识一致：受控背景、自然背景、田间采集和不同作物范围代表不同难度层级，不能被合并为单一的“泛化”概念（Barbedo, 2018a, 2018b; Singh et al., 2020; Thapa et al., 2020; Xu et al., 2024）。</w:t>
      </w:r>
    </w:p>
    <w:p>
      <w:pPr>
        <w:pStyle w:val="BodyText"/>
        <w:jc w:val="both"/>
      </w:pPr>
      <w:r>
        <w:rPr>
          <w:rFonts w:ascii="Arial" w:hAnsi="Arial" w:eastAsia="宋体"/>
        </w:rPr>
        <w:t>由于每个数据集都单独参与UMAP和聚类，本文采用传导式协议。结果能够说明方法在多个独立数据集上重复有效，却不能证明在一个数据集上学习后直接泛化到完全未参与聚类的新数据域。田间木薯和自然背景数据研究已经显示，同源受控图像上的高准确率可能在真实采集条件下明显下降（Ramcharan et al., 2017; Singh et al., 2020）。因此，更准确的表述是“具有较好的跨作物与跨数据集适用性，并显示归纳泛化潜力”，而不是“泛化性极强”。</w:t>
      </w:r>
    </w:p>
    <w:p>
      <w:pPr>
        <w:pStyle w:val="Heading2"/>
        <w:keepNext/>
      </w:pPr>
      <w:r>
        <w:rPr>
          <w:rFonts w:ascii="Arial" w:hAnsi="Arial" w:eastAsia="黑体"/>
          <w:b/>
          <w:sz w:val="26"/>
        </w:rPr>
        <w:t>5.3 跨外部视觉表征的稳定性</w:t>
      </w:r>
    </w:p>
    <w:p>
      <w:pPr>
        <w:pStyle w:val="BodyText"/>
        <w:jc w:val="both"/>
      </w:pPr>
      <w:r>
        <w:rPr>
          <w:rFonts w:ascii="Times New Roman" w:hAnsi="Times New Roman" w:eastAsia="宋体"/>
          <w:i w:val="0"/>
          <w:sz w:val="21"/>
        </w:rPr>
        <w:t>DINOv2提供了来源明确的公开自监督视觉表征。相同DINOv2特征下，C3在PV-Vegetable、MCLD-11和MCLD-9上相对于KMeans和C2稳定提高Acc_kept、ARI_kept和NMI_kept，说明异构聚类对齐与共识拒识具有跨视觉表征适用性。PV-Fruit的Acc_kept没有提升，但结构指标显著改善，符合天花板效应。</w:t>
      </w:r>
    </w:p>
    <w:p>
      <w:pPr>
        <w:pStyle w:val="BodyText"/>
        <w:jc w:val="both"/>
      </w:pPr>
      <w:r>
        <w:t>ConvNeXt主设置的公开仓库、ImageNet-22K预训练数据、Apache-2.0仓库许可及本地文件SHA256一致性均已确认。当前跨表征比较的解释边界不再来自权重来源不明，而来自两套预训练配置同时改变了架构、训练数据和学习目标。因此，本文报告其绝对结果差异，但不将该差异归因于单一骨干架构；更直接的机制证据仍来自各自骨干内部C3与KMeans/C2的配对比较。</w:t>
      </w:r>
    </w:p>
    <w:p>
      <w:pPr>
        <w:pStyle w:val="Heading2"/>
        <w:keepNext/>
      </w:pPr>
      <w:r>
        <w:rPr>
          <w:rFonts w:ascii="Arial" w:hAnsi="Arial" w:eastAsia="黑体"/>
          <w:b/>
          <w:sz w:val="26"/>
        </w:rPr>
        <w:t>5.4 严格共识的质量—覆盖率代价与适用边界</w:t>
      </w:r>
    </w:p>
    <w:p>
      <w:pPr>
        <w:pStyle w:val="BodyText"/>
        <w:jc w:val="both"/>
      </w:pPr>
      <w:r>
        <w:rPr>
          <w:rFonts w:ascii="Arial" w:hAnsi="Arial" w:eastAsia="宋体"/>
        </w:rPr>
        <w:t>C3要求三个算法完全一致，天然比C2和单算法更保守。在DINOv2设置下，PV-Vegetable和MCLD数据的质量提升伴随约14%–20%的Coverage下降；PV-Fruit甚至以约24%–27%的额外覆盖损失换取结构指标改善而非准确率提升。这一现象符合选择性预测的基本风险—覆盖率关系：降低接受范围通常能够降低已接受样本风险，但最优操作点取决于错误代价和复核资源（El-Yaniv and Wiener, 2010; Geifman and El-Yaniv, 2019）。因此，C3不是所有场景的默认最优策略。错误代价高、允许人工复核时可采用C3；需要高自动覆盖率时，C2或单聚类更合理。</w:t>
      </w:r>
    </w:p>
    <w:p>
      <w:pPr>
        <w:pStyle w:val="Heading2"/>
        <w:keepNext/>
      </w:pPr>
      <w:r>
        <w:rPr>
          <w:rFonts w:ascii="Arial" w:hAnsi="Arial" w:eastAsia="黑体"/>
          <w:b/>
          <w:sz w:val="26"/>
        </w:rPr>
        <w:t>5.5 高Acc_kept与较低ARI并不矛盾</w:t>
      </w:r>
    </w:p>
    <w:p>
      <w:pPr>
        <w:pStyle w:val="BodyText"/>
        <w:jc w:val="both"/>
      </w:pPr>
      <w:r>
        <w:rPr>
          <w:rFonts w:ascii="Times New Roman" w:hAnsi="Times New Roman" w:eastAsia="宋体"/>
          <w:i w:val="0"/>
          <w:sz w:val="21"/>
        </w:rPr>
        <w:t>统一设置K=20时，真实类别数较少的数据集可能出现过度分簇。多个高纯度视觉子簇可以经多对一映射到同一病害，使Acc_kept接近100%，但ARI仍因真实类别被拆分而较低。PV-Fruit中高Homogeneity与较低Completeness支持这一解释。论文结论必须联合Acc_kept、Coverage、ARI/NMI/AMI和类别数，不能只突出单一准确率。</w:t>
      </w:r>
    </w:p>
    <w:p>
      <w:pPr>
        <w:pStyle w:val="Heading2"/>
        <w:keepNext/>
      </w:pPr>
      <w:r>
        <w:rPr>
          <w:rFonts w:ascii="Arial" w:hAnsi="Arial" w:eastAsia="黑体"/>
          <w:b/>
          <w:sz w:val="26"/>
        </w:rPr>
        <w:t>5.6 UMAP与统一参数的作用</w:t>
      </w:r>
    </w:p>
    <w:p>
      <w:pPr>
        <w:pStyle w:val="BodyText"/>
        <w:jc w:val="both"/>
      </w:pPr>
      <w:r>
        <w:rPr>
          <w:rFonts w:ascii="Arial" w:hAnsi="Arial" w:eastAsia="宋体"/>
        </w:rPr>
        <w:t>UMAP在PV-Vegetable和MCLD-9上主要改善Coverage与保守全样本准确率，但在部分结构指标上不一定超过Raw特征。PCA提供线性方差保持基线（Jolliffe and Cadima, 2016），UMAP则强调局部流形邻域（McInnes et al., 2018）；两者的相对优势取决于数据结构和评价目标。不同数据集的最优维度与K也不一致。采用100维、K=20是为了统一比较和减少标签驱动调参，而不是宣称其为无标签条件下的全局最优。未来可研究基于内部聚类指标、跨种子稳定性或无标签一致性的参数选择。</w:t>
      </w:r>
    </w:p>
    <w:p>
      <w:pPr>
        <w:pStyle w:val="Heading2"/>
        <w:keepNext/>
      </w:pPr>
      <w:r>
        <w:rPr>
          <w:rFonts w:ascii="Arial" w:hAnsi="Arial" w:eastAsia="黑体"/>
          <w:b/>
          <w:sz w:val="26"/>
        </w:rPr>
        <w:t>5.7 潜在应用</w:t>
      </w:r>
    </w:p>
    <w:p>
      <w:pPr>
        <w:pStyle w:val="BodyText"/>
        <w:jc w:val="both"/>
      </w:pPr>
      <w:r>
        <w:rPr>
          <w:rFonts w:ascii="Arial" w:hAnsi="Arial" w:eastAsia="宋体"/>
        </w:rPr>
        <w:t>本方法适用于无标签病害图像库的自动组织、高置信伪标签候选筛选、重复采集数据质量控制和困难样本排序。被拒识样本可进入人工诊断、重新采集或监督模型复核流程，这与选择性系统将低置信输入转交人工或后续模型的应用逻辑一致（Geifman and El-Yaniv, 2019）。由于本文没有建立固定簇—病害语义映射，也未在独立新图像上学习可部署决策函数，当前结果不能被描述为面向农户的终端自动诊断系统。</w:t>
      </w:r>
    </w:p>
    <w:p>
      <w:pPr>
        <w:pStyle w:val="Heading2"/>
        <w:keepNext/>
      </w:pPr>
      <w:r>
        <w:rPr>
          <w:rFonts w:ascii="Arial" w:hAnsi="Arial" w:eastAsia="黑体"/>
          <w:b/>
          <w:sz w:val="26"/>
        </w:rPr>
        <w:t>5.8 局限性与未来工作</w:t>
      </w:r>
    </w:p>
    <w:p>
      <w:pPr>
        <w:pStyle w:val="BodyText"/>
        <w:ind w:firstLine="0"/>
        <w:jc w:val="both"/>
      </w:pPr>
      <w:r>
        <w:rPr>
          <w:rFonts w:ascii="Times New Roman" w:hAnsi="Times New Roman" w:eastAsia="宋体"/>
          <w:i w:val="0"/>
          <w:sz w:val="21"/>
        </w:rPr>
        <w:t>第一，传导式协议不直接证明未见图像的归纳分类能力，未来需要固定训练数据和校准数据后，在独立外部测试域上评价选择性预测。</w:t>
      </w:r>
    </w:p>
    <w:p>
      <w:pPr>
        <w:pStyle w:val="BodyText"/>
        <w:ind w:firstLine="0"/>
        <w:jc w:val="both"/>
      </w:pPr>
      <w:r>
        <w:t>第二，虽然ConvNeXt与DINOv2均采用来源和许可证明确的公开权重，但二者同时在网络架构、预训练数据和预训练目标上存在差异，因此当前跨表征实验不能隔离“骨干架构”本身的因果贡献。未来可在统一预训练数据与训练目标下开展更严格的受控骨干比较。</w:t>
      </w:r>
    </w:p>
    <w:p>
      <w:pPr>
        <w:pStyle w:val="BodyText"/>
        <w:ind w:firstLine="0"/>
        <w:jc w:val="both"/>
      </w:pPr>
      <w:r>
        <w:rPr>
          <w:rFonts w:ascii="Arial" w:hAnsi="Arial" w:eastAsia="宋体"/>
        </w:rPr>
        <w:t>第三，PlantVillage子集以受控单叶背景为主，MCLD-11虽然来自独立来源，但原始数据说明不足以支持“全部真实田间场景”的强表述。PlantDoc、Plant Pathology 2020和田间木薯研究展示了自然背景、真实光照和采集噪声对病害视觉任务的重要性（Ramcharan et al., 2017; Singh et al., 2020; Thapa et al., 2020），未来仍需专门的自然田间数据验证。</w:t>
      </w:r>
    </w:p>
    <w:p>
      <w:pPr>
        <w:pStyle w:val="BodyText"/>
        <w:ind w:firstLine="0"/>
        <w:jc w:val="both"/>
      </w:pPr>
      <w:r>
        <w:rPr>
          <w:rFonts w:ascii="Arial" w:hAnsi="Arial" w:eastAsia="宋体"/>
        </w:rPr>
        <w:t>第四，本文尚未在统一协议下复现DeepCluster、SCAN、SPICE等可学习深度聚类方法（Caron et al., 2018; Van Gansbeke et al., 2020; Niu et al., 2022）。DINOv2+KMeans和DINOv2+C3提供了强自监督外部基线，但不代表对深度聚类文献的全面比较。</w:t>
      </w:r>
    </w:p>
    <w:p>
      <w:pPr>
        <w:pStyle w:val="BodyText"/>
        <w:ind w:firstLine="0"/>
        <w:jc w:val="both"/>
      </w:pPr>
      <w:r>
        <w:rPr>
          <w:rFonts w:ascii="Times New Roman" w:hAnsi="Times New Roman" w:eastAsia="宋体"/>
          <w:i w:val="0"/>
          <w:sz w:val="21"/>
        </w:rPr>
        <w:t>第五，pHash只用于近重复风险审计，未删除高视觉相似样本，数据中仍可能存在同源变换图像。</w:t>
      </w:r>
    </w:p>
    <w:p>
      <w:pPr>
        <w:pStyle w:val="BodyText"/>
        <w:ind w:firstLine="0"/>
        <w:jc w:val="both"/>
      </w:pPr>
      <w:r>
        <w:rPr>
          <w:rFonts w:ascii="Times New Roman" w:hAnsi="Times New Roman" w:eastAsia="宋体"/>
          <w:i w:val="0"/>
          <w:sz w:val="21"/>
        </w:rPr>
        <w:t>第六，C3为离散操作点，尚未构建连续共识分数、校准风险估计或AURC。</w:t>
      </w:r>
    </w:p>
    <w:p>
      <w:pPr>
        <w:pStyle w:val="BodyText"/>
        <w:ind w:firstLine="0"/>
        <w:jc w:val="both"/>
      </w:pPr>
      <w:r>
        <w:rPr>
          <w:rFonts w:ascii="Times New Roman" w:hAnsi="Times New Roman" w:eastAsia="宋体"/>
          <w:i w:val="0"/>
          <w:sz w:val="21"/>
        </w:rPr>
        <w:t>第七，当前Bootstrap仅基于5个随机种子，虽提供了稳定性支持，但统计结论仍应限定于当前种子与数据集。</w:t>
      </w:r>
    </w:p>
    <w:p>
      <w:pPr>
        <w:pStyle w:val="Heading1"/>
        <w:keepNext/>
      </w:pPr>
      <w:r>
        <w:rPr>
          <w:rFonts w:ascii="Arial" w:hAnsi="Arial" w:eastAsia="黑体"/>
          <w:b/>
          <w:sz w:val="32"/>
        </w:rPr>
        <w:t>6 结论</w:t>
      </w:r>
    </w:p>
    <w:p>
      <w:pPr>
        <w:pStyle w:val="BodyText"/>
        <w:jc w:val="both"/>
      </w:pPr>
      <w:r>
        <w:rPr>
          <w:rFonts w:ascii="Times New Roman" w:hAnsi="Times New Roman" w:eastAsia="宋体"/>
          <w:i w:val="0"/>
          <w:sz w:val="21"/>
        </w:rPr>
        <w:t>本文提出一种基于冻结视觉特征、UMAP、KMeans/Birch/Agglomerative异构聚类、Hungarian簇对齐与共识拒识的植物病害图像传导式选择性无监督聚类框架。真实标签不参与特征提取、降维、聚类、对齐和拒识，只在结果固定后用于多对一事后类别对齐与外部评价。</w:t>
      </w:r>
    </w:p>
    <w:p>
      <w:pPr>
        <w:pStyle w:val="BodyText"/>
        <w:jc w:val="both"/>
      </w:pPr>
      <w:r>
        <w:rPr>
          <w:rFonts w:ascii="Times New Roman" w:hAnsi="Times New Roman" w:eastAsia="宋体"/>
          <w:i w:val="0"/>
          <w:sz w:val="21"/>
        </w:rPr>
        <w:t>在统一UMAP 100维和K=20配置下，PV-Fruit、PV-Vegetable和MCLD-9的Acc_kept分别为99.95%、97.85%和90.72%。PV-Vegetable和MCLD-9中，C3相对于随机同覆盖率拒识分别提高1.66和2.88个百分点；MCLD-9中相对于KMeans距离拒识提高1.47个百分点。公开自监督DINOv2验证进一步显示，在相同骨干与UMAP表示下，C3在PV-Vegetable、MCLD-11和MCLD-9上相对于KMeans分别提高6.73、2.58和3.45个百分点，并稳定改善ARI_kept与NMI_kept。</w:t>
      </w:r>
    </w:p>
    <w:p>
      <w:pPr>
        <w:pStyle w:val="BodyText"/>
        <w:jc w:val="both"/>
      </w:pPr>
      <w:r>
        <w:rPr>
          <w:rFonts w:ascii="Times New Roman" w:hAnsi="Times New Roman" w:eastAsia="宋体"/>
          <w:i w:val="0"/>
          <w:sz w:val="21"/>
        </w:rPr>
        <w:t>本文支持的核心结论是：异构聚类算法的一致性可以作为结构稳定性信号，在类别结构较复杂的数据中以降低Coverage为代价，筛选事后类别一致率和聚类结构更高的样本。该框架在不同作物群组、独立数据来源和公开自监督视觉表征下表现出较好的适用性与稳健性，但尚不能被解释为对完全未见场景的强归纳病害诊断能力。</w:t>
      </w:r>
    </w:p>
    <w:p>
      <w:pPr>
        <w:pStyle w:val="Heading1"/>
        <w:keepNext/>
      </w:pPr>
      <w:r>
        <w:rPr>
          <w:rFonts w:ascii="Arial" w:hAnsi="Arial" w:eastAsia="黑体"/>
          <w:b/>
          <w:sz w:val="32"/>
        </w:rPr>
        <w:t>声明</w:t>
      </w:r>
    </w:p>
    <w:p>
      <w:pPr>
        <w:pStyle w:val="Heading2"/>
        <w:keepNext/>
      </w:pPr>
      <w:r>
        <w:rPr>
          <w:rFonts w:ascii="Arial" w:hAnsi="Arial" w:eastAsia="黑体"/>
          <w:b/>
          <w:sz w:val="26"/>
        </w:rPr>
        <w:t>经费资助</w:t>
      </w:r>
    </w:p>
    <w:p>
      <w:pPr>
        <w:pStyle w:val="BodyText"/>
        <w:ind w:firstLine="0"/>
        <w:jc w:val="both"/>
      </w:pPr>
      <w:r>
        <w:rPr>
          <w:rFonts w:ascii="Times New Roman" w:hAnsi="Times New Roman" w:eastAsia="宋体"/>
          <w:i w:val="0"/>
          <w:color w:val="C00000"/>
          <w:sz w:val="21"/>
        </w:rPr>
        <w:t>【待补充基金名称、项目编号及资助方角色。】</w:t>
      </w:r>
    </w:p>
    <w:p>
      <w:pPr>
        <w:pStyle w:val="Heading2"/>
        <w:keepNext/>
      </w:pPr>
      <w:r>
        <w:rPr>
          <w:rFonts w:ascii="Arial" w:hAnsi="Arial" w:eastAsia="黑体"/>
          <w:b/>
          <w:sz w:val="26"/>
        </w:rPr>
        <w:t>利益冲突</w:t>
      </w:r>
    </w:p>
    <w:p>
      <w:pPr>
        <w:pStyle w:val="BodyText"/>
        <w:ind w:firstLine="0"/>
        <w:jc w:val="both"/>
      </w:pPr>
      <w:r>
        <w:rPr>
          <w:rFonts w:ascii="Times New Roman" w:hAnsi="Times New Roman" w:eastAsia="宋体"/>
          <w:i w:val="0"/>
          <w:sz w:val="21"/>
        </w:rPr>
        <w:t>作者声明不存在可能影响本文工作的已知竞争性经济利益或个人关系。【请由全体作者确认】</w:t>
      </w:r>
    </w:p>
    <w:p>
      <w:pPr>
        <w:pStyle w:val="Heading2"/>
        <w:keepNext/>
      </w:pPr>
      <w:r>
        <w:rPr>
          <w:rFonts w:ascii="Arial" w:hAnsi="Arial" w:eastAsia="黑体"/>
          <w:b/>
          <w:sz w:val="26"/>
        </w:rPr>
        <w:t>数据可用性</w:t>
      </w:r>
    </w:p>
    <w:p>
      <w:pPr>
        <w:pStyle w:val="BodyText"/>
        <w:ind w:firstLine="0"/>
        <w:jc w:val="both"/>
      </w:pPr>
      <w:r>
        <w:t>PlantVillage公开数据可由其原始公开仓库获取。MCLD-11和MCLD-9来源于Multi-Crop Leaf Disease Dataset（DOI: 10.17632/z6jp232g5j.1）。DFLD-BR-4构建自Ahmed et al. (2024)发布的Plant Leaf Disease Recognition Dataset中Background Removed部分（Mendeley Data，Version 1，DOI: 10.17632/5g238dv4ht.1），原始数据依据CC BY 4.0许可使用。本文选取Gourd、Hibiscus、Papaya和Zucchini四类，并从原始4,121幅图像中删除391幅SHA256完全重复图像，最终保留3,730幅。按照CC BY 4.0要求，本文已标明原作者、原始数据名称、版本、DOI、许可类型及所做修改。本文整理后的文件清单、SHA256去重记录、类别映射、随机种子级结果和分析代码拟在公开仓库提供。【待补充GitHub/Zenodo地址】</w:t>
      </w:r>
    </w:p>
    <w:p>
      <w:pPr>
        <w:pStyle w:val="Heading2"/>
        <w:keepNext/>
      </w:pPr>
      <w:r>
        <w:rPr>
          <w:rFonts w:ascii="Arial" w:hAnsi="Arial" w:eastAsia="黑体"/>
          <w:b/>
          <w:sz w:val="26"/>
        </w:rPr>
        <w:t>代码可用性</w:t>
      </w:r>
    </w:p>
    <w:p>
      <w:pPr>
        <w:pStyle w:val="BodyText"/>
        <w:ind w:firstLine="0"/>
        <w:jc w:val="both"/>
      </w:pPr>
      <w:r>
        <w:t>实验代码、参数文件、结果汇总脚本和制图脚本拟在公开仓库提供。【待补充GitHub/Zenodo地址】ConvNeXt主设置采用公开timm/convnext_xlarge.fb_in22k权重，本地文件SHA256为72b257ce7a079089c1bac54151807caf1b10d33a570fa9738a3ba437d24fc4d9；DINOv2采用timm公开vit_base_patch14_dinov2权重。为避免不必要地重新分发第三方大模型权重，代码仓库将记录模型标识、官方获取位置、许可证和校验值。</w:t>
      </w:r>
    </w:p>
    <w:p>
      <w:pPr>
        <w:pStyle w:val="Heading2"/>
        <w:keepNext/>
      </w:pPr>
      <w:r>
        <w:rPr>
          <w:rFonts w:ascii="Arial" w:hAnsi="Arial" w:eastAsia="黑体"/>
          <w:b/>
          <w:sz w:val="26"/>
        </w:rPr>
        <w:t>作者贡献（CRediT）</w:t>
      </w:r>
    </w:p>
    <w:p>
      <w:pPr>
        <w:pStyle w:val="BodyText"/>
        <w:ind w:firstLine="0"/>
        <w:jc w:val="both"/>
      </w:pPr>
      <w:r>
        <w:rPr>
          <w:rFonts w:ascii="Times New Roman" w:hAnsi="Times New Roman" w:eastAsia="宋体"/>
          <w:i w:val="0"/>
          <w:sz w:val="21"/>
        </w:rPr>
        <w:t>【待根据实际作者分工补充Conceptualization、Methodology、Software、Validation、Formal analysis、Writing等。】</w:t>
      </w:r>
    </w:p>
    <w:p>
      <w:pPr>
        <w:pStyle w:val="Heading2"/>
        <w:keepNext/>
      </w:pPr>
      <w:r>
        <w:rPr>
          <w:rFonts w:ascii="Arial" w:hAnsi="Arial" w:eastAsia="黑体"/>
          <w:b/>
          <w:sz w:val="26"/>
        </w:rPr>
        <w:t>生成式人工智能与AI辅助技术声明</w:t>
      </w:r>
    </w:p>
    <w:p>
      <w:pPr>
        <w:pStyle w:val="BodyText"/>
        <w:ind w:firstLine="0"/>
        <w:jc w:val="both"/>
      </w:pPr>
      <w:r>
        <w:t>During the preparation of this work, the authors used ChatGPT (OpenAI) to assist with manuscript organization and language editing. All experimental results, interpretations, citations and final text were reviewed and verified by the authors, who take full responsibility for the content.</w:t>
      </w:r>
    </w:p>
    <w:p>
      <w:pPr>
        <w:pStyle w:val="Heading2"/>
      </w:pPr>
      <w:r>
        <w:t>科研图件完整性声明</w:t>
      </w:r>
    </w:p>
    <w:p>
      <w:r>
        <w:t>All figures in this manuscript were generated from experimental CSV outputs, statistical results, or explicit method definitions using Python/Matplotlib. No generative AI or AI-assisted image tool was used to create, modify, enhance, or fabricate any submitted figure. Each figure is supplied separately as a vector PDF and a high-resolution TIFF file; full titles and explanations are provided in the manuscript captions rather than embedded inside the artwork.</w:t>
      </w:r>
    </w:p>
    <w:p>
      <w:pPr>
        <w:pStyle w:val="Heading1"/>
        <w:keepNext/>
      </w:pPr>
      <w:r>
        <w:rPr>
          <w:rFonts w:ascii="Arial" w:hAnsi="Arial" w:eastAsia="黑体"/>
          <w:b/>
          <w:sz w:val="32"/>
        </w:rPr>
        <w:t>参考文献</w:t>
      </w:r>
    </w:p>
    <w:p>
      <w:pPr>
        <w:pStyle w:val="Reference"/>
      </w:pPr>
      <w:r>
        <w:t>Ahmed, T., Taposi, M.T.R., Mukhor, M.A., Mojumdar, M.U., 2024. Plant Leaf Disease Recognition Dataset, Version 1. Mendeley Data. https://doi.org/10.17632/5g238dv4ht.1. Licensed under CC BY 4.0.</w:t>
      </w:r>
    </w:p>
    <w:p>
      <w:pPr>
        <w:pStyle w:val="Reference"/>
        <w:keepLines/>
        <w:spacing w:after="40"/>
      </w:pPr>
      <w:r>
        <w:rPr>
          <w:rFonts w:ascii="Arial" w:hAnsi="Arial" w:eastAsia="宋体"/>
        </w:rPr>
        <w:t>Arshad, Z., Javed, A., Saudagar, A.K.J., 2026. ConvGeM-next: a deep learning framework for plant disease detection. Front. Plant Sci. 17, 1763739. https://doi.org/10.3389/fpls.2026.1763739.</w:t>
      </w:r>
    </w:p>
    <w:p>
      <w:pPr>
        <w:pStyle w:val="Reference"/>
        <w:keepLines/>
        <w:spacing w:after="40"/>
      </w:pPr>
      <w:r>
        <w:rPr>
          <w:rFonts w:ascii="Arial" w:hAnsi="Arial" w:eastAsia="宋体"/>
        </w:rPr>
        <w:t>Barbedo, J.G.A., 2018a. Factors influencing the use of deep learning for plant disease recognition. Biosyst. Eng. 172, 84–91. https://doi.org/10.1016/j.biosystemseng.2018.05.013.</w:t>
      </w:r>
    </w:p>
    <w:p>
      <w:pPr>
        <w:pStyle w:val="Reference"/>
        <w:keepLines/>
        <w:spacing w:after="40"/>
      </w:pPr>
      <w:r>
        <w:rPr>
          <w:rFonts w:ascii="Arial" w:hAnsi="Arial" w:eastAsia="宋体"/>
        </w:rPr>
        <w:t>Barbedo, J.G.A., 2018b. Impact of dataset size and variety on the effectiveness of deep learning and transfer learning for plant disease classification. Comput. Electron. Agric. 153, 46–53. https://doi.org/10.1016/j.compag.2018.08.013.</w:t>
      </w:r>
    </w:p>
    <w:p>
      <w:pPr>
        <w:pStyle w:val="Reference"/>
        <w:keepLines/>
        <w:spacing w:after="40"/>
      </w:pPr>
      <w:r>
        <w:rPr>
          <w:rFonts w:ascii="Arial" w:hAnsi="Arial" w:eastAsia="宋体"/>
        </w:rPr>
        <w:t>Caron, M., Bojanowski, P., Joulin, A., Douze, M., 2018. Deep clustering for unsupervised learning of visual features, in: Proceedings of the European Conference on Computer Vision (ECCV), pp. 132–149.</w:t>
      </w:r>
    </w:p>
    <w:p>
      <w:pPr>
        <w:pStyle w:val="Reference"/>
        <w:keepLines/>
        <w:spacing w:after="40"/>
      </w:pPr>
      <w:r>
        <w:rPr>
          <w:rFonts w:ascii="Arial" w:hAnsi="Arial" w:eastAsia="宋体"/>
        </w:rPr>
        <w:t>Caron, M., Touvron, H., Misra, I., Jégou, H., Mairal, J., Bojanowski, P., Joulin, A., 2021. Emerging properties in self-supervised vision transformers, in: Proceedings of the IEEE/CVF International Conference on Computer Vision (ICCV), pp. 9650–9660.</w:t>
      </w:r>
    </w:p>
    <w:p>
      <w:pPr>
        <w:pStyle w:val="Reference"/>
        <w:keepLines/>
        <w:spacing w:after="40"/>
      </w:pPr>
      <w:r>
        <w:rPr>
          <w:rFonts w:ascii="Arial" w:hAnsi="Arial" w:eastAsia="宋体"/>
        </w:rPr>
        <w:t>Chen, T., Kornblith, S., Norouzi, M., Hinton, G., 2020. A simple framework for contrastive learning of visual representations, in: Proceedings of the 37th International Conference on Machine Learning, PMLR 119, pp. 1597–1607.</w:t>
      </w:r>
    </w:p>
    <w:p>
      <w:pPr>
        <w:pStyle w:val="Reference"/>
        <w:keepLines/>
        <w:spacing w:after="40"/>
      </w:pPr>
      <w:r>
        <w:rPr>
          <w:rFonts w:ascii="Arial" w:hAnsi="Arial" w:eastAsia="宋体"/>
        </w:rPr>
        <w:t>Chen, Z., Wang, G., Lv, T., Zhang, X., 2024. Using a hybrid convolutional neural network with a Transformer model for tomato leaf disease detection. Agronomy 14, 673. https://doi.org/10.3390/agronomy14040673.</w:t>
      </w:r>
    </w:p>
    <w:p>
      <w:pPr>
        <w:pStyle w:val="Reference"/>
        <w:keepLines/>
        <w:spacing w:after="40"/>
      </w:pPr>
      <w:r>
        <w:rPr>
          <w:rFonts w:ascii="Arial" w:hAnsi="Arial" w:eastAsia="宋体"/>
        </w:rPr>
        <w:t>Chow, C.K., 1970. On optimum recognition error and reject tradeoff. IEEE Trans. Inf. Theory 16, 41–46. https://doi.org/10.1109/TIT.1970.1054406.</w:t>
      </w:r>
    </w:p>
    <w:p>
      <w:pPr>
        <w:pStyle w:val="Reference"/>
        <w:keepLines/>
        <w:spacing w:after="40"/>
      </w:pPr>
      <w:r>
        <w:rPr>
          <w:rFonts w:ascii="Arial" w:hAnsi="Arial" w:eastAsia="宋体"/>
        </w:rPr>
        <w:t>Efron, B., 1979. Bootstrap methods: another look at the jackknife. Ann. Stat. 7, 1–26. https://doi.org/10.1214/aos/1176344552.</w:t>
      </w:r>
    </w:p>
    <w:p>
      <w:pPr>
        <w:pStyle w:val="Reference"/>
        <w:keepLines/>
        <w:spacing w:after="40"/>
      </w:pPr>
      <w:r>
        <w:rPr>
          <w:rFonts w:ascii="Arial" w:hAnsi="Arial" w:eastAsia="宋体"/>
        </w:rPr>
        <w:t>El-Yaniv, R., Wiener, Y., 2010. On the foundations of noise-free selective classification. J. Mach. Learn. Res. 11, 1605–1641.</w:t>
      </w:r>
    </w:p>
    <w:p>
      <w:pPr>
        <w:pStyle w:val="Reference"/>
        <w:keepLines/>
        <w:spacing w:after="40"/>
      </w:pPr>
      <w:r>
        <w:rPr>
          <w:rFonts w:ascii="Arial" w:hAnsi="Arial" w:eastAsia="宋体"/>
        </w:rPr>
        <w:t>Fang, U., Li, J., Lu, X., Ali, M., Gao, L., Xiang, Y., 2021. Chaotic-to-fine clustering for unlabeled plant disease images. arXiv:2101.06820.</w:t>
      </w:r>
    </w:p>
    <w:p>
      <w:pPr>
        <w:pStyle w:val="Reference"/>
        <w:keepLines/>
        <w:spacing w:after="40"/>
      </w:pPr>
      <w:r>
        <w:rPr>
          <w:rFonts w:ascii="Arial" w:hAnsi="Arial" w:eastAsia="宋体"/>
        </w:rPr>
        <w:t>Ferentinos, K.P., 2018. Deep learning models for plant disease detection and diagnosis. Comput. Electron. Agric. 145, 311–318. https://doi.org/10.1016/j.compag.2018.01.009.</w:t>
      </w:r>
    </w:p>
    <w:p>
      <w:pPr>
        <w:pStyle w:val="Reference"/>
        <w:keepLines/>
        <w:spacing w:after="40"/>
      </w:pPr>
      <w:r>
        <w:rPr>
          <w:rFonts w:ascii="Arial" w:hAnsi="Arial" w:eastAsia="宋体"/>
        </w:rPr>
        <w:t>Fred, A.L.N., Jain, A.K., 2005. Combining multiple clusterings using evidence accumulation. IEEE Trans. Pattern Anal. Mach. Intell. 27, 835–850. https://doi.org/10.1109/TPAMI.2005.113.</w:t>
      </w:r>
    </w:p>
    <w:p>
      <w:pPr>
        <w:pStyle w:val="Reference"/>
        <w:keepLines/>
        <w:spacing w:after="40"/>
      </w:pPr>
      <w:r>
        <w:rPr>
          <w:rFonts w:ascii="Arial" w:hAnsi="Arial" w:eastAsia="宋体"/>
        </w:rPr>
        <w:t>Geifman, Y., El-Yaniv, R., 2017. Selective classification for deep neural networks, in: Advances in Neural Information Processing Systems 30.</w:t>
      </w:r>
    </w:p>
    <w:p>
      <w:pPr>
        <w:pStyle w:val="Reference"/>
        <w:keepLines/>
        <w:spacing w:after="40"/>
      </w:pPr>
      <w:r>
        <w:rPr>
          <w:rFonts w:ascii="Arial" w:hAnsi="Arial" w:eastAsia="宋体"/>
        </w:rPr>
        <w:t>Geifman, Y., El-Yaniv, R., 2019. SelectiveNet: a deep neural network with an integrated reject option, in: Proceedings of the 36th International Conference on Machine Learning, PMLR 97, pp. 2151–2159.</w:t>
      </w:r>
    </w:p>
    <w:p>
      <w:pPr>
        <w:pStyle w:val="Reference"/>
        <w:keepLines/>
        <w:spacing w:after="40"/>
      </w:pPr>
      <w:r>
        <w:rPr>
          <w:rFonts w:ascii="Arial" w:hAnsi="Arial" w:eastAsia="宋体"/>
        </w:rPr>
        <w:t>He, K., Fan, H., Wu, Y., Xie, S., Girshick, R., 2020. Momentum contrast for unsupervised visual representation learning, in: Proceedings of the IEEE/CVF Conference on Computer Vision and Pattern Recognition, pp. 9729–9738.</w:t>
      </w:r>
    </w:p>
    <w:p>
      <w:pPr>
        <w:pStyle w:val="Reference"/>
        <w:keepLines/>
        <w:spacing w:after="40"/>
      </w:pPr>
      <w:r>
        <w:rPr>
          <w:rFonts w:ascii="Arial" w:hAnsi="Arial" w:eastAsia="宋体"/>
        </w:rPr>
        <w:t>Hubert, L., Arabie, P., 1985. Comparing partitions. J. Classif. 2, 193–218. https://doi.org/10.1007/BF01908075.</w:t>
      </w:r>
    </w:p>
    <w:p>
      <w:pPr>
        <w:pStyle w:val="Reference"/>
        <w:keepLines/>
        <w:spacing w:after="40"/>
      </w:pPr>
      <w:r>
        <w:rPr>
          <w:rFonts w:ascii="Arial" w:hAnsi="Arial" w:eastAsia="宋体"/>
        </w:rPr>
        <w:t>Hughes, D.P., Salathé, M., 2015. An open access repository of images on plant health to enable the development of mobile disease diagnostics. arXiv:1511.08060.</w:t>
      </w:r>
    </w:p>
    <w:p>
      <w:pPr>
        <w:pStyle w:val="Reference"/>
        <w:keepLines/>
        <w:spacing w:after="40"/>
      </w:pPr>
      <w:r>
        <w:rPr>
          <w:rFonts w:ascii="Arial" w:hAnsi="Arial" w:eastAsia="宋体"/>
        </w:rPr>
        <w:t>Jolliffe, I.T., Cadima, J., 2016. Principal component analysis: a review and recent developments. Philos. Trans. R. Soc. A 374, 20150202. https://doi.org/10.1098/rsta.2015.0202.</w:t>
      </w:r>
    </w:p>
    <w:p>
      <w:pPr>
        <w:pStyle w:val="Reference"/>
        <w:keepLines/>
        <w:spacing w:after="40"/>
      </w:pPr>
      <w:r>
        <w:rPr>
          <w:rFonts w:ascii="Arial" w:hAnsi="Arial" w:eastAsia="宋体"/>
        </w:rPr>
        <w:t>Kamilaris, A., Prenafeta-Boldú, F.X., 2018. Deep learning in agriculture: a survey. Comput. Electron. Agric. 147, 70–90. https://doi.org/10.1016/j.compag.2018.02.016.</w:t>
      </w:r>
    </w:p>
    <w:p>
      <w:pPr>
        <w:pStyle w:val="Reference"/>
        <w:keepLines/>
        <w:spacing w:after="40"/>
      </w:pPr>
      <w:r>
        <w:rPr>
          <w:rFonts w:ascii="Arial" w:hAnsi="Arial" w:eastAsia="宋体"/>
        </w:rPr>
        <w:t>Kuhn, H.W., 1955. The Hungarian method for the assignment problem. Nav. Res. Logist. Q. 2, 83–97. https://doi.org/10.1002/nav.3800020109.</w:t>
      </w:r>
    </w:p>
    <w:p>
      <w:pPr>
        <w:pStyle w:val="Reference"/>
        <w:keepLines/>
        <w:spacing w:after="40"/>
      </w:pPr>
      <w:r>
        <w:rPr>
          <w:rFonts w:ascii="Arial" w:hAnsi="Arial" w:eastAsia="宋体"/>
        </w:rPr>
        <w:t>Liu, Z., Mao, H., Wu, C.-Y., Feichtenhofer, C., Darrell, T., Xie, S., 2022. A ConvNet for the 2020s, in: Proceedings of the IEEE/CVF Conference on Computer Vision and Pattern Recognition, pp. 11976–11986.</w:t>
      </w:r>
    </w:p>
    <w:p>
      <w:pPr>
        <w:pStyle w:val="Reference"/>
        <w:keepLines/>
        <w:spacing w:after="40"/>
      </w:pPr>
      <w:r>
        <w:rPr>
          <w:rFonts w:ascii="Arial" w:hAnsi="Arial" w:eastAsia="宋体"/>
        </w:rPr>
        <w:t>Lloyd, S., 1982. Least squares quantization in PCM. IEEE Trans. Inf. Theory 28, 129–137. https://doi.org/10.1109/TIT.1982.1056489.</w:t>
      </w:r>
    </w:p>
    <w:p>
      <w:pPr>
        <w:pStyle w:val="Reference"/>
        <w:keepLines/>
        <w:spacing w:after="40"/>
      </w:pPr>
      <w:r>
        <w:rPr>
          <w:rFonts w:ascii="Arial" w:hAnsi="Arial" w:eastAsia="宋体"/>
        </w:rPr>
        <w:t>McInnes, L., Healy, J., Melville, J., 2018. UMAP: Uniform Manifold Approximation and Projection for dimension reduction. arXiv:1802.03426.</w:t>
      </w:r>
    </w:p>
    <w:p>
      <w:pPr>
        <w:pStyle w:val="Reference"/>
        <w:keepLines/>
        <w:spacing w:after="40"/>
      </w:pPr>
      <w:r>
        <w:rPr>
          <w:rFonts w:ascii="Arial" w:hAnsi="Arial" w:eastAsia="宋体"/>
        </w:rPr>
        <w:t>Mohanty, S.P., Hughes, D.P., Salathé, M., 2016. Using deep learning for image-based plant disease detection. Front. Plant Sci. 7, 1419. https://doi.org/10.3389/fpls.2016.01419.</w:t>
      </w:r>
    </w:p>
    <w:p>
      <w:pPr>
        <w:pStyle w:val="Reference"/>
        <w:keepLines/>
        <w:spacing w:after="40"/>
      </w:pPr>
      <w:r>
        <w:rPr>
          <w:rFonts w:ascii="Arial" w:hAnsi="Arial" w:eastAsia="宋体"/>
        </w:rPr>
        <w:t>Murtagh, F., Contreras, P., 2012. Algorithms for hierarchical clustering: an overview. WIREs Data Min. Knowl. Discov. 2, 86–97. https://doi.org/10.1002/widm.53.</w:t>
      </w:r>
    </w:p>
    <w:p>
      <w:pPr>
        <w:pStyle w:val="Reference"/>
        <w:keepLines/>
        <w:spacing w:after="40"/>
      </w:pPr>
      <w:r>
        <w:rPr>
          <w:rFonts w:ascii="Arial" w:hAnsi="Arial" w:eastAsia="宋体"/>
        </w:rPr>
        <w:t>Niu, C., Shan, H., Wang, G., 2022. SPICE: Semantic pseudo-labeling for image clustering. IEEE Trans. Image Process. 31, 7264–7278. https://doi.org/10.1109/TIP.2022.3221290.</w:t>
      </w:r>
    </w:p>
    <w:p>
      <w:pPr>
        <w:pStyle w:val="Reference"/>
        <w:keepLines/>
        <w:spacing w:after="40"/>
      </w:pPr>
      <w:r>
        <w:rPr>
          <w:rFonts w:ascii="Arial" w:hAnsi="Arial" w:eastAsia="宋体"/>
        </w:rPr>
        <w:t>Noyan, M.A., 2022. Uncovering bias in the PlantVillage dataset. arXiv:2206.04374.</w:t>
      </w:r>
    </w:p>
    <w:p>
      <w:pPr>
        <w:pStyle w:val="Reference"/>
        <w:keepLines/>
        <w:spacing w:after="40"/>
      </w:pPr>
      <w:r>
        <w:rPr>
          <w:rFonts w:ascii="Arial" w:hAnsi="Arial" w:eastAsia="宋体"/>
        </w:rPr>
        <w:t>Oquab, M., Darcet, T., Moutakanni, T., et al., 2023. DINOv2: Learning robust visual features without supervision. arXiv:2304.07193.</w:t>
      </w:r>
    </w:p>
    <w:p>
      <w:pPr>
        <w:pStyle w:val="Reference"/>
        <w:keepLines/>
        <w:spacing w:after="40"/>
      </w:pPr>
      <w:r>
        <w:rPr>
          <w:rFonts w:ascii="Arial" w:hAnsi="Arial" w:eastAsia="宋体"/>
        </w:rPr>
        <w:t>Pal, C., Karmakar, S., Mukherjee, I., Chakrabarti, P.P., 2025. A lightweight and explainable CNN model for empowering plant disease diagnosis. Sci. Rep. 15, 30720. https://doi.org/10.1038/s41598-025-94083-1.</w:t>
      </w:r>
    </w:p>
    <w:p>
      <w:pPr>
        <w:pStyle w:val="Reference"/>
        <w:keepLines/>
        <w:spacing w:after="40"/>
      </w:pPr>
      <w:r>
        <w:rPr>
          <w:rFonts w:ascii="Arial" w:hAnsi="Arial" w:eastAsia="宋体"/>
        </w:rPr>
        <w:t>Pedregosa, F., Varoquaux, G., Gramfort, A., et al., 2011. Scikit-learn: machine learning in Python. J. Mach. Learn. Res. 12, 2825–2830.</w:t>
      </w:r>
    </w:p>
    <w:p>
      <w:pPr>
        <w:pStyle w:val="Reference"/>
        <w:keepLines/>
        <w:spacing w:after="40"/>
      </w:pPr>
      <w:r>
        <w:rPr>
          <w:rFonts w:ascii="Arial" w:hAnsi="Arial" w:eastAsia="宋体"/>
        </w:rPr>
        <w:t>Ramcharan, A., Baranowski, K., McCloskey, P., Ahmed, B., Legg, J., Hughes, D.P., 2017. Deep learning for image-based cassava disease detection. Front. Plant Sci. 8, 1852. https://doi.org/10.3389/fpls.2017.01852.</w:t>
      </w:r>
    </w:p>
    <w:p>
      <w:pPr>
        <w:pStyle w:val="Reference"/>
        <w:keepLines/>
        <w:spacing w:after="40"/>
      </w:pPr>
      <w:r>
        <w:rPr>
          <w:rFonts w:ascii="Arial" w:hAnsi="Arial" w:eastAsia="宋体"/>
        </w:rPr>
        <w:t>Savary, S., Willocquet, L., Pethybridge, S.J., Esker, P., McRoberts, N., Nelson, A., 2019. The global burden of pathogens and pests on major food crops. Nat. Ecol. Evol. 3, 430–439. https://doi.org/10.1038/s41559-018-0793-y.</w:t>
      </w:r>
    </w:p>
    <w:p>
      <w:pPr>
        <w:pStyle w:val="Reference"/>
        <w:keepLines/>
        <w:spacing w:after="40"/>
      </w:pPr>
      <w:r>
        <w:rPr>
          <w:rFonts w:ascii="Arial" w:hAnsi="Arial" w:eastAsia="宋体"/>
        </w:rPr>
        <w:t>Sifat, M.A.A., Hosen, M.S., 2025. Multi-Crop Leaf Disease Dataset: Corn, Potato, Rice, Tomato, and Cashew, Version 1. Mendeley Data. https://doi.org/10.17632/z6jp232g5j.1.</w:t>
      </w:r>
    </w:p>
    <w:p>
      <w:pPr>
        <w:pStyle w:val="Reference"/>
        <w:keepLines/>
        <w:spacing w:after="40"/>
      </w:pPr>
      <w:r>
        <w:rPr>
          <w:rFonts w:ascii="Arial" w:hAnsi="Arial" w:eastAsia="宋体"/>
        </w:rPr>
        <w:t>Singh, D., Jain, N., Jain, P., Kayal, P., Kumawat, S., Batra, N., 2020. PlantDoc: a dataset for visual plant disease detection, in: Proceedings of the 7th ACM IKDD CoDS and 25th COMAD, pp. 249–253. https://doi.org/10.1145/3371158.3371196.</w:t>
      </w:r>
    </w:p>
    <w:p>
      <w:pPr>
        <w:pStyle w:val="Reference"/>
        <w:keepLines/>
        <w:spacing w:after="40"/>
      </w:pPr>
      <w:r>
        <w:rPr>
          <w:rFonts w:ascii="Arial" w:hAnsi="Arial" w:eastAsia="宋体"/>
        </w:rPr>
        <w:t>Strehl, A., Ghosh, J., 2002. Cluster ensembles—A knowledge reuse framework for combining multiple partitions. J. Mach. Learn. Res. 3, 583–617.</w:t>
      </w:r>
    </w:p>
    <w:p>
      <w:pPr>
        <w:pStyle w:val="Reference"/>
        <w:keepLines/>
        <w:spacing w:after="40"/>
      </w:pPr>
      <w:r>
        <w:rPr>
          <w:rFonts w:ascii="Arial" w:hAnsi="Arial" w:eastAsia="宋体"/>
        </w:rPr>
        <w:t>Thapa, R., Zhang, K., Snavely, N., Belongie, S., Khan, M.A., 2020. The Plant Pathology 2020 challenge dataset to classify foliar disease of apples. Appl. Plant Sci. 8, e11390. https://doi.org/10.1002/aps3.11390.</w:t>
      </w:r>
    </w:p>
    <w:p>
      <w:pPr>
        <w:pStyle w:val="Reference"/>
        <w:keepLines/>
        <w:spacing w:after="40"/>
      </w:pPr>
      <w:r>
        <w:rPr>
          <w:rFonts w:ascii="Arial" w:hAnsi="Arial" w:eastAsia="宋体"/>
        </w:rPr>
        <w:t>Too, E.C., Yujian, L., Njuki, S., Yingchun, L., 2019. A comparative study of fine-tuning deep learning models for plant disease identification. Comput. Electron. Agric. 161, 272–279. https://doi.org/10.1016/j.compag.2018.03.032.</w:t>
      </w:r>
    </w:p>
    <w:p>
      <w:pPr>
        <w:pStyle w:val="Reference"/>
        <w:keepLines/>
        <w:spacing w:after="40"/>
      </w:pPr>
      <w:r>
        <w:rPr>
          <w:rFonts w:ascii="Arial" w:hAnsi="Arial" w:eastAsia="宋体"/>
        </w:rPr>
        <w:t>Van Gansbeke, W., Vandenhende, S., Georgoulis, S., Proesmans, M., Van Gool, L., 2020. SCAN: Learning to classify images without labels, in: Proceedings of the European Conference on Computer Vision (ECCV), pp. 268–285.</w:t>
      </w:r>
    </w:p>
    <w:p>
      <w:pPr>
        <w:pStyle w:val="Reference"/>
        <w:keepLines/>
        <w:spacing w:after="40"/>
      </w:pPr>
      <w:r>
        <w:rPr>
          <w:rFonts w:ascii="Arial" w:hAnsi="Arial" w:eastAsia="宋体"/>
        </w:rPr>
        <w:t>Vinh, N.X., Epps, J., Bailey, J., 2010. Information theoretic measures for clusterings comparison: variants, properties, normalization and correction for chance. J. Mach. Learn. Res. 11, 2837–2854.</w:t>
      </w:r>
    </w:p>
    <w:p>
      <w:pPr>
        <w:pStyle w:val="Reference"/>
      </w:pPr>
      <w:r>
        <w:t>Wightman, R., 2019. PyTorch Image Models. GitHub repository. https://doi.org/10.5281/zenodo.4414861.</w:t>
      </w:r>
    </w:p>
    <w:p>
      <w:pPr>
        <w:pStyle w:val="Reference"/>
        <w:keepLines/>
        <w:spacing w:after="40"/>
      </w:pPr>
      <w:r>
        <w:rPr>
          <w:rFonts w:ascii="Arial" w:hAnsi="Arial" w:eastAsia="宋体"/>
        </w:rPr>
        <w:t>Xu, M., Park, J.E., Lee, J., Yang, J., Yoon, S., 2024. Plant disease recognition datasets in the age of deep learning: challenges and opportunities. Front. Plant Sci. 15, 1452551. https://doi.org/10.3389/fpls.2024.1452551.</w:t>
      </w:r>
    </w:p>
    <w:p>
      <w:pPr>
        <w:pStyle w:val="Reference"/>
        <w:keepLines/>
        <w:spacing w:after="40"/>
      </w:pPr>
      <w:r>
        <w:rPr>
          <w:rFonts w:ascii="Arial" w:hAnsi="Arial" w:eastAsia="宋体"/>
        </w:rPr>
        <w:t>Zhang, T., Ramakrishnan, R., Livny, M., 1996. BIRCH: An efficient data clustering method for very large databases, in: Proceedings of the ACM SIGMOD International Conference on Management of Data, pp. 103–114. https://doi.org/10.1145/233269.233324.</w:t>
      </w:r>
    </w:p>
    <w:p>
      <w:pPr>
        <w:pStyle w:val="Heading1"/>
        <w:keepNext/>
      </w:pPr>
      <w:r>
        <w:rPr>
          <w:rFonts w:ascii="Arial" w:hAnsi="Arial" w:eastAsia="黑体"/>
          <w:b/>
          <w:sz w:val="32"/>
        </w:rPr>
        <w:t>附录A  数据集类别构成</w:t>
      </w:r>
    </w:p>
    <w:p>
      <w:pPr>
        <w:pStyle w:val="Heading2"/>
        <w:keepNext/>
      </w:pPr>
      <w:r>
        <w:rPr>
          <w:rFonts w:ascii="Arial" w:hAnsi="Arial" w:eastAsia="黑体"/>
          <w:b/>
          <w:sz w:val="26"/>
        </w:rPr>
        <w:t>A.1 PV-Fruit（PlantVillage水果作物病害子集）</w:t>
      </w:r>
    </w:p>
    <w:tbl>
      <w:tblPr>
        <w:tblW w:type="auto" w:w="0"/>
        <w:jc w:val="center"/>
        <w:tblLayout w:type="fixed"/>
        <w:tblLook w:firstColumn="1" w:firstRow="1" w:lastColumn="0" w:lastRow="0" w:noHBand="0" w:noVBand="1" w:val="04A0"/>
      </w:tblPr>
      <w:tblGrid>
        <w:gridCol w:w="3099"/>
        <w:gridCol w:w="3099"/>
        <w:gridCol w:w="3099"/>
      </w:tblGrid>
      <w:tr>
        <w:trPr>
          <w:tblHeader w:val="true"/>
        </w:trPr>
        <w:tc>
          <w:tcPr>
            <w:tcW w:type="dxa" w:w="1224"/>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类别编号</w:t>
            </w:r>
          </w:p>
        </w:tc>
        <w:tc>
          <w:tcPr>
            <w:tcW w:type="dxa" w:w="6120"/>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类别名称</w:t>
            </w:r>
          </w:p>
        </w:tc>
        <w:tc>
          <w:tcPr>
            <w:tcW w:type="dxa" w:w="1224"/>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样本数</w:t>
            </w:r>
          </w:p>
        </w:tc>
      </w:tr>
      <w:tr>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w:t>
            </w:r>
          </w:p>
        </w:tc>
        <w:tc>
          <w:tcPr>
            <w:tcW w:type="dxa" w:w="612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Apple - apple scab</w:t>
            </w:r>
          </w:p>
        </w:tc>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630</w:t>
            </w:r>
          </w:p>
        </w:tc>
      </w:tr>
      <w:tr>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1</w:t>
            </w:r>
          </w:p>
        </w:tc>
        <w:tc>
          <w:tcPr>
            <w:tcW w:type="dxa" w:w="612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Apple - black rot</w:t>
            </w:r>
          </w:p>
        </w:tc>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621</w:t>
            </w:r>
          </w:p>
        </w:tc>
      </w:tr>
      <w:tr>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2</w:t>
            </w:r>
          </w:p>
        </w:tc>
        <w:tc>
          <w:tcPr>
            <w:tcW w:type="dxa" w:w="612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Apple - cedar apple rust</w:t>
            </w:r>
          </w:p>
        </w:tc>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275</w:t>
            </w:r>
          </w:p>
        </w:tc>
      </w:tr>
      <w:tr>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3</w:t>
            </w:r>
          </w:p>
        </w:tc>
        <w:tc>
          <w:tcPr>
            <w:tcW w:type="dxa" w:w="612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Cherry - powdery mildew</w:t>
            </w:r>
          </w:p>
        </w:tc>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1052</w:t>
            </w:r>
          </w:p>
        </w:tc>
      </w:tr>
      <w:tr>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4</w:t>
            </w:r>
          </w:p>
        </w:tc>
        <w:tc>
          <w:tcPr>
            <w:tcW w:type="dxa" w:w="612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Grape - esca black measles</w:t>
            </w:r>
          </w:p>
        </w:tc>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1383</w:t>
            </w:r>
          </w:p>
        </w:tc>
      </w:tr>
      <w:tr>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5</w:t>
            </w:r>
          </w:p>
        </w:tc>
        <w:tc>
          <w:tcPr>
            <w:tcW w:type="dxa" w:w="612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Grape - leaf blight</w:t>
            </w:r>
          </w:p>
        </w:tc>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1076</w:t>
            </w:r>
          </w:p>
        </w:tc>
      </w:tr>
      <w:tr>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6</w:t>
            </w:r>
          </w:p>
        </w:tc>
        <w:tc>
          <w:tcPr>
            <w:tcW w:type="dxa" w:w="612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Orange - citrus greening</w:t>
            </w:r>
          </w:p>
        </w:tc>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5507</w:t>
            </w:r>
          </w:p>
        </w:tc>
      </w:tr>
      <w:tr>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7</w:t>
            </w:r>
          </w:p>
        </w:tc>
        <w:tc>
          <w:tcPr>
            <w:tcW w:type="dxa" w:w="612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Peach - bacterial spot</w:t>
            </w:r>
          </w:p>
        </w:tc>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2297</w:t>
            </w:r>
          </w:p>
        </w:tc>
      </w:tr>
      <w:tr>
        <w:tc>
          <w:tcPr>
            <w:tcW w:type="dxa" w:w="1224"/>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8</w:t>
            </w:r>
          </w:p>
        </w:tc>
        <w:tc>
          <w:tcPr>
            <w:tcW w:type="dxa" w:w="6120"/>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Strawberry - leaf scorch</w:t>
            </w:r>
          </w:p>
        </w:tc>
        <w:tc>
          <w:tcPr>
            <w:tcW w:type="dxa" w:w="1224"/>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1109</w:t>
            </w:r>
          </w:p>
        </w:tc>
      </w:tr>
    </w:tbl>
    <w:p>
      <w:pPr>
        <w:pStyle w:val="Heading2"/>
        <w:keepNext/>
      </w:pPr>
      <w:r>
        <w:rPr>
          <w:rFonts w:ascii="Arial" w:hAnsi="Arial" w:eastAsia="黑体"/>
          <w:b/>
          <w:sz w:val="26"/>
        </w:rPr>
        <w:t>A.2 PV-Vegetable（PlantVillage蔬菜作物病害子集）</w:t>
      </w:r>
    </w:p>
    <w:tbl>
      <w:tblPr>
        <w:tblW w:type="auto" w:w="0"/>
        <w:jc w:val="center"/>
        <w:tblLayout w:type="fixed"/>
        <w:tblLook w:firstColumn="1" w:firstRow="1" w:lastColumn="0" w:lastRow="0" w:noHBand="0" w:noVBand="1" w:val="04A0"/>
      </w:tblPr>
      <w:tblGrid>
        <w:gridCol w:w="3099"/>
        <w:gridCol w:w="3099"/>
        <w:gridCol w:w="3099"/>
      </w:tblGrid>
      <w:tr>
        <w:trPr>
          <w:tblHeader w:val="true"/>
        </w:trPr>
        <w:tc>
          <w:tcPr>
            <w:tcW w:type="dxa" w:w="1224"/>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类别编号</w:t>
            </w:r>
          </w:p>
        </w:tc>
        <w:tc>
          <w:tcPr>
            <w:tcW w:type="dxa" w:w="6120"/>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类别名称</w:t>
            </w:r>
          </w:p>
        </w:tc>
        <w:tc>
          <w:tcPr>
            <w:tcW w:type="dxa" w:w="1224"/>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样本数</w:t>
            </w:r>
          </w:p>
        </w:tc>
      </w:tr>
      <w:tr>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w:t>
            </w:r>
          </w:p>
        </w:tc>
        <w:tc>
          <w:tcPr>
            <w:tcW w:type="dxa" w:w="612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Corn - common rust</w:t>
            </w:r>
          </w:p>
        </w:tc>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1192</w:t>
            </w:r>
          </w:p>
        </w:tc>
      </w:tr>
      <w:tr>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1</w:t>
            </w:r>
          </w:p>
        </w:tc>
        <w:tc>
          <w:tcPr>
            <w:tcW w:type="dxa" w:w="612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Corn - northern leaf blight</w:t>
            </w:r>
          </w:p>
        </w:tc>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985</w:t>
            </w:r>
          </w:p>
        </w:tc>
      </w:tr>
      <w:tr>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2</w:t>
            </w:r>
          </w:p>
        </w:tc>
        <w:tc>
          <w:tcPr>
            <w:tcW w:type="dxa" w:w="612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Bell pepper - bacterial spot</w:t>
            </w:r>
          </w:p>
        </w:tc>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997</w:t>
            </w:r>
          </w:p>
        </w:tc>
      </w:tr>
      <w:tr>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3</w:t>
            </w:r>
          </w:p>
        </w:tc>
        <w:tc>
          <w:tcPr>
            <w:tcW w:type="dxa" w:w="612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Potato - early blight</w:t>
            </w:r>
          </w:p>
        </w:tc>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1000</w:t>
            </w:r>
          </w:p>
        </w:tc>
      </w:tr>
      <w:tr>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4</w:t>
            </w:r>
          </w:p>
        </w:tc>
        <w:tc>
          <w:tcPr>
            <w:tcW w:type="dxa" w:w="612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Potato - late blight</w:t>
            </w:r>
          </w:p>
        </w:tc>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1000</w:t>
            </w:r>
          </w:p>
        </w:tc>
      </w:tr>
      <w:tr>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5</w:t>
            </w:r>
          </w:p>
        </w:tc>
        <w:tc>
          <w:tcPr>
            <w:tcW w:type="dxa" w:w="612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Squash - powdery mildew</w:t>
            </w:r>
          </w:p>
        </w:tc>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1835</w:t>
            </w:r>
          </w:p>
        </w:tc>
      </w:tr>
      <w:tr>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6</w:t>
            </w:r>
          </w:p>
        </w:tc>
        <w:tc>
          <w:tcPr>
            <w:tcW w:type="dxa" w:w="612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Tomato - bacterial spot</w:t>
            </w:r>
          </w:p>
        </w:tc>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2127</w:t>
            </w:r>
          </w:p>
        </w:tc>
      </w:tr>
      <w:tr>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7</w:t>
            </w:r>
          </w:p>
        </w:tc>
        <w:tc>
          <w:tcPr>
            <w:tcW w:type="dxa" w:w="612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Tomato - late blight</w:t>
            </w:r>
          </w:p>
        </w:tc>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1901</w:t>
            </w:r>
          </w:p>
        </w:tc>
      </w:tr>
      <w:tr>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8</w:t>
            </w:r>
          </w:p>
        </w:tc>
        <w:tc>
          <w:tcPr>
            <w:tcW w:type="dxa" w:w="612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Tomato - septoria leaf spot</w:t>
            </w:r>
          </w:p>
        </w:tc>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1771</w:t>
            </w:r>
          </w:p>
        </w:tc>
      </w:tr>
      <w:tr>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9</w:t>
            </w:r>
          </w:p>
        </w:tc>
        <w:tc>
          <w:tcPr>
            <w:tcW w:type="dxa" w:w="612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Tomato - two-spotted spider mite</w:t>
            </w:r>
          </w:p>
        </w:tc>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1676</w:t>
            </w:r>
          </w:p>
        </w:tc>
      </w:tr>
      <w:tr>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10</w:t>
            </w:r>
          </w:p>
        </w:tc>
        <w:tc>
          <w:tcPr>
            <w:tcW w:type="dxa" w:w="612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Tomato - mosaic virus</w:t>
            </w:r>
          </w:p>
        </w:tc>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373</w:t>
            </w:r>
          </w:p>
        </w:tc>
      </w:tr>
      <w:tr>
        <w:tc>
          <w:tcPr>
            <w:tcW w:type="dxa" w:w="1224"/>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11</w:t>
            </w:r>
          </w:p>
        </w:tc>
        <w:tc>
          <w:tcPr>
            <w:tcW w:type="dxa" w:w="6120"/>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Tomato - yellow leaf curl virus</w:t>
            </w:r>
          </w:p>
        </w:tc>
        <w:tc>
          <w:tcPr>
            <w:tcW w:type="dxa" w:w="1224"/>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5357</w:t>
            </w:r>
          </w:p>
        </w:tc>
      </w:tr>
    </w:tbl>
    <w:p>
      <w:pPr>
        <w:pStyle w:val="Heading2"/>
        <w:keepNext/>
      </w:pPr>
      <w:r>
        <w:rPr>
          <w:rFonts w:ascii="Arial" w:hAnsi="Arial" w:eastAsia="黑体"/>
          <w:b/>
          <w:sz w:val="26"/>
        </w:rPr>
        <w:t>A.3 MCLD-9（预先整理9类多作物病害子集）</w:t>
      </w:r>
    </w:p>
    <w:tbl>
      <w:tblPr>
        <w:tblW w:type="auto" w:w="0"/>
        <w:jc w:val="center"/>
        <w:tblLayout w:type="fixed"/>
        <w:tblLook w:firstColumn="1" w:firstRow="1" w:lastColumn="0" w:lastRow="0" w:noHBand="0" w:noVBand="1" w:val="04A0"/>
      </w:tblPr>
      <w:tblGrid>
        <w:gridCol w:w="3099"/>
        <w:gridCol w:w="3099"/>
        <w:gridCol w:w="3099"/>
      </w:tblGrid>
      <w:tr>
        <w:trPr>
          <w:tblHeader w:val="true"/>
        </w:trPr>
        <w:tc>
          <w:tcPr>
            <w:tcW w:type="dxa" w:w="1224"/>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类别编号</w:t>
            </w:r>
          </w:p>
        </w:tc>
        <w:tc>
          <w:tcPr>
            <w:tcW w:type="dxa" w:w="6120"/>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类别名称</w:t>
            </w:r>
          </w:p>
        </w:tc>
        <w:tc>
          <w:tcPr>
            <w:tcW w:type="dxa" w:w="1224"/>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样本数</w:t>
            </w:r>
          </w:p>
        </w:tc>
      </w:tr>
      <w:tr>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w:t>
            </w:r>
          </w:p>
        </w:tc>
        <w:tc>
          <w:tcPr>
            <w:tcW w:type="dxa" w:w="612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Cashew - leaf miner</w:t>
            </w:r>
          </w:p>
        </w:tc>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555</w:t>
            </w:r>
          </w:p>
        </w:tc>
      </w:tr>
      <w:tr>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1</w:t>
            </w:r>
          </w:p>
        </w:tc>
        <w:tc>
          <w:tcPr>
            <w:tcW w:type="dxa" w:w="612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Cashew - red rust</w:t>
            </w:r>
          </w:p>
        </w:tc>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565</w:t>
            </w:r>
          </w:p>
        </w:tc>
      </w:tr>
      <w:tr>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2</w:t>
            </w:r>
          </w:p>
        </w:tc>
        <w:tc>
          <w:tcPr>
            <w:tcW w:type="dxa" w:w="612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Corn - leaf blight</w:t>
            </w:r>
          </w:p>
        </w:tc>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490</w:t>
            </w:r>
          </w:p>
        </w:tc>
      </w:tr>
      <w:tr>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3</w:t>
            </w:r>
          </w:p>
        </w:tc>
        <w:tc>
          <w:tcPr>
            <w:tcW w:type="dxa" w:w="612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Corn - streak virus</w:t>
            </w:r>
          </w:p>
        </w:tc>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397</w:t>
            </w:r>
          </w:p>
        </w:tc>
      </w:tr>
      <w:tr>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4</w:t>
            </w:r>
          </w:p>
        </w:tc>
        <w:tc>
          <w:tcPr>
            <w:tcW w:type="dxa" w:w="612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Potato - fungi</w:t>
            </w:r>
          </w:p>
        </w:tc>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386</w:t>
            </w:r>
          </w:p>
        </w:tc>
      </w:tr>
      <w:tr>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5</w:t>
            </w:r>
          </w:p>
        </w:tc>
        <w:tc>
          <w:tcPr>
            <w:tcW w:type="dxa" w:w="612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Rice - bacterial leaf blight</w:t>
            </w:r>
          </w:p>
        </w:tc>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330</w:t>
            </w:r>
          </w:p>
        </w:tc>
      </w:tr>
      <w:tr>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6</w:t>
            </w:r>
          </w:p>
        </w:tc>
        <w:tc>
          <w:tcPr>
            <w:tcW w:type="dxa" w:w="612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Rice - brown spot</w:t>
            </w:r>
          </w:p>
        </w:tc>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325</w:t>
            </w:r>
          </w:p>
        </w:tc>
      </w:tr>
      <w:tr>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7</w:t>
            </w:r>
          </w:p>
        </w:tc>
        <w:tc>
          <w:tcPr>
            <w:tcW w:type="dxa" w:w="612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Tomato - septoria leaf spot</w:t>
            </w:r>
          </w:p>
        </w:tc>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719</w:t>
            </w:r>
          </w:p>
        </w:tc>
      </w:tr>
      <w:tr>
        <w:tc>
          <w:tcPr>
            <w:tcW w:type="dxa" w:w="1224"/>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8</w:t>
            </w:r>
          </w:p>
        </w:tc>
        <w:tc>
          <w:tcPr>
            <w:tcW w:type="dxa" w:w="6120"/>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Tomato - Verticillium wilt</w:t>
            </w:r>
          </w:p>
        </w:tc>
        <w:tc>
          <w:tcPr>
            <w:tcW w:type="dxa" w:w="1224"/>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673</w:t>
            </w:r>
          </w:p>
        </w:tc>
      </w:tr>
    </w:tbl>
    <w:p>
      <w:pPr>
        <w:pStyle w:val="Heading2"/>
        <w:keepNext/>
      </w:pPr>
      <w:r>
        <w:rPr>
          <w:rFonts w:ascii="Arial" w:hAnsi="Arial" w:eastAsia="黑体"/>
          <w:b/>
          <w:sz w:val="26"/>
        </w:rPr>
        <w:t>A.4 DFLD-BR-4（去背景四类作物种类辅助集）</w:t>
      </w:r>
    </w:p>
    <w:tbl>
      <w:tblPr>
        <w:tblW w:type="auto" w:w="0"/>
        <w:jc w:val="center"/>
        <w:tblLayout w:type="fixed"/>
        <w:tblLook w:firstColumn="1" w:firstRow="1" w:lastColumn="0" w:lastRow="0" w:noHBand="0" w:noVBand="1" w:val="04A0"/>
      </w:tblPr>
      <w:tblGrid>
        <w:gridCol w:w="3099"/>
        <w:gridCol w:w="3099"/>
        <w:gridCol w:w="3099"/>
      </w:tblGrid>
      <w:tr>
        <w:trPr>
          <w:tblHeader w:val="true"/>
        </w:trPr>
        <w:tc>
          <w:tcPr>
            <w:tcW w:type="dxa" w:w="1224"/>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类别编号</w:t>
            </w:r>
          </w:p>
        </w:tc>
        <w:tc>
          <w:tcPr>
            <w:tcW w:type="dxa" w:w="6120"/>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类别名称</w:t>
            </w:r>
          </w:p>
        </w:tc>
        <w:tc>
          <w:tcPr>
            <w:tcW w:type="dxa" w:w="1224"/>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5"/>
              </w:rPr>
            </w:r>
            <w:r>
              <w:rPr>
                <w:rFonts w:ascii="Times New Roman" w:hAnsi="Times New Roman" w:eastAsia="宋体"/>
                <w:b/>
                <w:sz w:val="15"/>
              </w:rPr>
              <w:t>样本数</w:t>
            </w:r>
          </w:p>
        </w:tc>
      </w:tr>
      <w:tr>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0</w:t>
            </w:r>
          </w:p>
        </w:tc>
        <w:tc>
          <w:tcPr>
            <w:tcW w:type="dxa" w:w="612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Gourd</w:t>
            </w:r>
          </w:p>
        </w:tc>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991</w:t>
            </w:r>
          </w:p>
        </w:tc>
      </w:tr>
      <w:tr>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1</w:t>
            </w:r>
          </w:p>
        </w:tc>
        <w:tc>
          <w:tcPr>
            <w:tcW w:type="dxa" w:w="612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Hibiscus</w:t>
            </w:r>
          </w:p>
        </w:tc>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1328</w:t>
            </w:r>
          </w:p>
        </w:tc>
      </w:tr>
      <w:tr>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2</w:t>
            </w:r>
          </w:p>
        </w:tc>
        <w:tc>
          <w:tcPr>
            <w:tcW w:type="dxa" w:w="612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Papaya</w:t>
            </w:r>
          </w:p>
        </w:tc>
        <w:tc>
          <w:tcPr>
            <w:tcW w:type="dxa" w:w="1224"/>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536</w:t>
            </w:r>
          </w:p>
        </w:tc>
      </w:tr>
      <w:tr>
        <w:tc>
          <w:tcPr>
            <w:tcW w:type="dxa" w:w="1224"/>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3</w:t>
            </w:r>
          </w:p>
        </w:tc>
        <w:tc>
          <w:tcPr>
            <w:tcW w:type="dxa" w:w="6120"/>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Zucchini</w:t>
            </w:r>
          </w:p>
        </w:tc>
        <w:tc>
          <w:tcPr>
            <w:tcW w:type="dxa" w:w="1224"/>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4"/>
              </w:rPr>
            </w:r>
            <w:r>
              <w:rPr>
                <w:rFonts w:ascii="Times New Roman" w:hAnsi="Times New Roman" w:eastAsia="宋体"/>
                <w:b w:val="0"/>
                <w:sz w:val="14"/>
              </w:rPr>
              <w:t>875</w:t>
            </w:r>
          </w:p>
        </w:tc>
      </w:tr>
    </w:tbl>
    <w:p>
      <w:pPr>
        <w:pStyle w:val="Heading1"/>
        <w:keepNext/>
      </w:pPr>
      <w:r>
        <w:rPr>
          <w:rFonts w:ascii="Arial" w:hAnsi="Arial" w:eastAsia="黑体"/>
          <w:b/>
          <w:sz w:val="32"/>
        </w:rPr>
        <w:t>附录B  DINOv2骨干内完整配对Bootstrap结果</w:t>
      </w:r>
    </w:p>
    <w:tbl>
      <w:tblPr>
        <w:tblW w:type="auto" w:w="0"/>
        <w:jc w:val="center"/>
        <w:tblLayout w:type="fixed"/>
        <w:tblLook w:firstColumn="1" w:firstRow="1" w:lastColumn="0" w:lastRow="0" w:noHBand="0" w:noVBand="1" w:val="04A0"/>
      </w:tblPr>
      <w:tblGrid>
        <w:gridCol w:w="1860"/>
        <w:gridCol w:w="1860"/>
        <w:gridCol w:w="1860"/>
        <w:gridCol w:w="1860"/>
        <w:gridCol w:w="1860"/>
      </w:tblGrid>
      <w:tr>
        <w:trPr>
          <w:tblHeader w:val="true"/>
        </w:trPr>
        <w:tc>
          <w:tcPr>
            <w:tcW w:type="dxa" w:w="1152"/>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4"/>
              </w:rPr>
            </w:r>
            <w:r>
              <w:rPr>
                <w:rFonts w:ascii="Times New Roman" w:hAnsi="Times New Roman" w:eastAsia="宋体"/>
                <w:b/>
                <w:sz w:val="14"/>
              </w:rPr>
              <w:t>数据集</w:t>
            </w:r>
          </w:p>
        </w:tc>
        <w:tc>
          <w:tcPr>
            <w:tcW w:type="dxa" w:w="1368"/>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4"/>
              </w:rPr>
            </w:r>
            <w:r>
              <w:rPr>
                <w:rFonts w:ascii="Times New Roman" w:hAnsi="Times New Roman" w:eastAsia="宋体"/>
                <w:b/>
                <w:sz w:val="14"/>
              </w:rPr>
              <w:t>比较</w:t>
            </w:r>
          </w:p>
        </w:tc>
        <w:tc>
          <w:tcPr>
            <w:tcW w:type="dxa" w:w="1296"/>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4"/>
              </w:rPr>
            </w:r>
            <w:r>
              <w:rPr>
                <w:rFonts w:ascii="Times New Roman" w:hAnsi="Times New Roman" w:eastAsia="宋体"/>
                <w:b/>
                <w:sz w:val="14"/>
              </w:rPr>
              <w:t>指标</w:t>
            </w:r>
          </w:p>
        </w:tc>
        <w:tc>
          <w:tcPr>
            <w:tcW w:type="dxa" w:w="1440"/>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4"/>
              </w:rPr>
            </w:r>
            <w:r>
              <w:rPr>
                <w:rFonts w:ascii="Times New Roman" w:hAnsi="Times New Roman" w:eastAsia="宋体"/>
                <w:b/>
                <w:sz w:val="14"/>
              </w:rPr>
              <w:t>均值差</w:t>
            </w:r>
          </w:p>
        </w:tc>
        <w:tc>
          <w:tcPr>
            <w:tcW w:type="dxa" w:w="2131"/>
            <w:vAlign w:val="center"/>
            <w:tcBorders>
              <w:top w:val="single" w:sz="8" w:color="000000"/>
              <w:left w:val="nil"/>
              <w:bottom w:val="single" w:sz="8" w:color="000000"/>
              <w:right w:val="nil"/>
              <w:insideH w:val="nil"/>
              <w:insideV w:val="nil"/>
            </w:tcBorders>
            <w:shd w:fill="DCE6F1"/>
            <w:tcMar>
              <w:top w:w="25" w:type="dxa"/>
              <w:left w:w="35" w:type="dxa"/>
              <w:bottom w:w="25" w:type="dxa"/>
              <w:right w:w="35" w:type="dxa"/>
            </w:tcMar>
          </w:tcPr>
          <w:p>
            <w:pPr>
              <w:spacing w:after="0" w:before="0" w:line="240" w:lineRule="auto"/>
              <w:jc w:val="center"/>
            </w:pPr>
            <w:r>
              <w:rPr>
                <w:rFonts w:ascii="Times New Roman" w:hAnsi="Times New Roman" w:eastAsia="宋体"/>
                <w:b/>
                <w:sz w:val="14"/>
              </w:rPr>
            </w:r>
            <w:r>
              <w:rPr>
                <w:rFonts w:ascii="Times New Roman" w:hAnsi="Times New Roman" w:eastAsia="宋体"/>
                <w:b/>
                <w:sz w:val="14"/>
              </w:rPr>
              <w:t>95% CI</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PV-Fruit</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vs KMeans</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Acc_kept</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-0.04 pp</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[-0.06, 0.00] pp</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PV-Fruit</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vs KMeans</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ARI_kept</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0.1641</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[0.1258, 0.2026]</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PV-Fruit</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vs KMeans</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NMI_kept</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0.0621</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[0.0518, 0.0735]</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PV-Fruit</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vs KMeans</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Coverage</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-27.32 pp</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[-29.78, -25.56] pp</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PV-Fruit</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vs C2</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Acc_kept</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-0.03 pp</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[-0.06, 0.01] pp</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PV-Fruit</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vs C2</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ARI_kept</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0.1437</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[0.1093, 0.1788]</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PV-Fruit</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vs C2</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NMI_kept</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0.0551</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[0.0464, 0.0638]</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PV-Fruit</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vs C2</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Coverage</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-24.10 pp</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[-25.81, -22.29] pp</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PV-Vegetable</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vs KMeans</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Acc_kept</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6.73 pp</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[3.34, 10.22] pp</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PV-Vegetable</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vs KMeans</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ARI_kept</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0.0985</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[0.0788, 0.1183]</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PV-Vegetable</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vs KMeans</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NMI_kept</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0.0485</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[0.0371, 0.0599]</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PV-Vegetable</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vs KMeans</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Coverage</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-17.59 pp</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[-23.51, -12.74] pp</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PV-Vegetable</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vs C2</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Acc_kept</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4.17 pp</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[1.60, 6.69] pp</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PV-Vegetable</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vs C2</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ARI_kept</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0.0652</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[0.0514, 0.0804]</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PV-Vegetable</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vs C2</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NMI_kept</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0.0315</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[0.0202, 0.0431]</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PV-Vegetable</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vs C2</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Coverage</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-13.86 pp</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[-19.59, -9.70] pp</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MCLD-11</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vs KMeans</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Acc_kept</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2.58 pp</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[1.35, 3.73] pp</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MCLD-11</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vs KMeans</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ARI_kept</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0.0695</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[0.0511, 0.0873]</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MCLD-11</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vs KMeans</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NMI_kept</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0.0249</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[0.0169, 0.0346]</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MCLD-11</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vs KMeans</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Coverage</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-18.79 pp</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[-21.86, -15.72] pp</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MCLD-11</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vs C2</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Acc_kept</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2.16 pp</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[0.81, 3.52] pp</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MCLD-11</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vs C2</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ARI_kept</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0.0612</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[0.0469, 0.0760]</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MCLD-11</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vs C2</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NMI_kept</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0.0218</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[0.0150, 0.0305]</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MCLD-11</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vs C2</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Coverage</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-16.94 pp</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[-19.03, -14.66] pp</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MCLD-9</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vs KMeans</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Acc_kept</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3.45 pp</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[2.90, 4.00] pp</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MCLD-9</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vs KMeans</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ARI_kept</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0.1001</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[0.0814, 0.1176]</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MCLD-9</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vs KMeans</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NMI_kept</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0.0393</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[0.0311, 0.0474]</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MCLD-9</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vs KMeans</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Coverage</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-19.53 pp</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[-22.09, -16.96] pp</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MCLD-9</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vs C2</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Acc_kept</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3.16 pp</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[2.59, 3.71] pp</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MCLD-9</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vs C2</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ARI_kept</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0.0913</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[0.0742, 0.1117]</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MCLD-9</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vs C2</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NMI_kept</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0.0367</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[0.0287, 0.0446]</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MCLD-9</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vs C2</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Coverage</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-17.75 pp</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[-20.21, -15.25] pp</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ALL</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vs KMeans</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Acc_kept</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3.18 pp</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[1.88, 4.65] pp</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ALL</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vs KMeans</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ARI_kept</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0.1081</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[0.0893, 0.1291]</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ALL</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vs KMeans</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NMI_kept</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0.0437</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[0.0361, 0.0515]</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ALL</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vs KMeans</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Coverage</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-20.81 pp</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[-23.25, -18.38] pp</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ALL</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vs C2</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Acc_kept</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2.37 pp</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[1.40, 3.41] pp</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ALL</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vs C2</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ARI_kept</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0.0904</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[0.0734, 0.1099]</w:t>
            </w:r>
          </w:p>
        </w:tc>
      </w:tr>
      <w:tr>
        <w:tc>
          <w:tcPr>
            <w:tcW w:type="dxa" w:w="1152"/>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ALL</w:t>
            </w:r>
          </w:p>
        </w:tc>
        <w:tc>
          <w:tcPr>
            <w:tcW w:type="dxa" w:w="1368"/>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vs C2</w:t>
            </w:r>
          </w:p>
        </w:tc>
        <w:tc>
          <w:tcPr>
            <w:tcW w:type="dxa" w:w="1296"/>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NMI_kept</w:t>
            </w:r>
          </w:p>
        </w:tc>
        <w:tc>
          <w:tcPr>
            <w:tcW w:type="dxa" w:w="1440"/>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0.0363</w:t>
            </w:r>
          </w:p>
        </w:tc>
        <w:tc>
          <w:tcPr>
            <w:tcW w:type="dxa" w:w="2131"/>
            <w:vAlign w:val="center"/>
            <w:tcBorders>
              <w:top w:val="nil"/>
              <w:left w:val="nil"/>
              <w:bottom w:val="nil"/>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[0.0294, 0.0434]</w:t>
            </w:r>
          </w:p>
        </w:tc>
      </w:tr>
      <w:tr>
        <w:tc>
          <w:tcPr>
            <w:tcW w:type="dxa" w:w="1152"/>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ALL</w:t>
            </w:r>
          </w:p>
        </w:tc>
        <w:tc>
          <w:tcPr>
            <w:tcW w:type="dxa" w:w="1368"/>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vs C2</w:t>
            </w:r>
          </w:p>
        </w:tc>
        <w:tc>
          <w:tcPr>
            <w:tcW w:type="dxa" w:w="1296"/>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t>Coverage</w:t>
            </w:r>
          </w:p>
        </w:tc>
        <w:tc>
          <w:tcPr>
            <w:tcW w:type="dxa" w:w="1440"/>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-18.16 pp</w:t>
            </w:r>
          </w:p>
        </w:tc>
        <w:tc>
          <w:tcPr>
            <w:tcW w:type="dxa" w:w="2131"/>
            <w:vAlign w:val="center"/>
            <w:tcBorders>
              <w:top w:val="nil"/>
              <w:left w:val="nil"/>
              <w:bottom w:val="single" w:sz="8" w:color="000000"/>
              <w:right w:val="nil"/>
              <w:insideH w:val="nil"/>
              <w:insideV w:val="nil"/>
            </w:tcBorders>
            <w:tcMar>
              <w:top w:w="25" w:type="dxa"/>
              <w:left w:w="35" w:type="dxa"/>
              <w:bottom w:w="25" w:type="dxa"/>
              <w:right w:w="35" w:type="dxa"/>
            </w:tcMar>
          </w:tcPr>
          <w:p>
            <w:pPr>
              <w:spacing w:after="0" w:before="0" w:line="240" w:lineRule="auto"/>
              <w:jc w:val="left"/>
            </w:pPr>
            <w:r>
              <w:rPr>
                <w:rFonts w:ascii="Times New Roman" w:hAnsi="Times New Roman" w:eastAsia="宋体"/>
                <w:sz w:val="12"/>
              </w:rPr>
            </w:r>
            <w:r>
              <w:rPr>
                <w:rFonts w:ascii="Times New Roman" w:hAnsi="Times New Roman" w:eastAsia="宋体"/>
                <w:b w:val="0"/>
                <w:sz w:val="12"/>
              </w:rPr>
              <w:t>[-20.43, -15.89] pp</w:t>
            </w:r>
          </w:p>
        </w:tc>
      </w:tr>
    </w:tbl>
    <w:p>
      <w:pPr>
        <w:pStyle w:val="Heading1"/>
        <w:keepNext/>
      </w:pPr>
      <w:r>
        <w:rPr>
          <w:rFonts w:ascii="Arial" w:hAnsi="Arial" w:eastAsia="黑体"/>
          <w:b/>
          <w:sz w:val="32"/>
        </w:rPr>
        <w:t>附录C  投稿前核查清单</w:t>
      </w:r>
    </w:p>
    <w:p>
      <w:pPr>
        <w:pStyle w:val="BodyText"/>
        <w:ind w:firstLine="0"/>
        <w:jc w:val="both"/>
      </w:pPr>
      <w:r>
        <w:rPr>
          <w:rFonts w:ascii="Times New Roman" w:hAnsi="Times New Roman" w:eastAsia="宋体"/>
          <w:i w:val="0"/>
          <w:color w:val="C00000"/>
          <w:sz w:val="21"/>
        </w:rPr>
        <w:t>□ 补充作者姓名、单位、通信作者邮箱、ORCID和完整邮寄地址。</w:t>
      </w:r>
    </w:p>
    <w:p>
      <w:pPr>
        <w:pStyle w:val="BodyText"/>
        <w:ind w:firstLine="0"/>
        <w:jc w:val="both"/>
      </w:pPr>
      <w:r>
        <w:t>☑ 已确认本地model.safetensors来自公开仓库timm/convnext_xlarge.fb_in22k，模型卡说明其为ImageNet-22K监督预训练权重，仓库标注Apache-2.0；本地文件SHA256与公开文件完全一致。</w:t>
      </w:r>
    </w:p>
    <w:p>
      <w:pPr>
        <w:pStyle w:val="BodyText"/>
        <w:ind w:firstLine="0"/>
        <w:jc w:val="both"/>
      </w:pPr>
      <w:r>
        <w:t>☑ 已确认DFLD-BR-4原始来源为Plant Leaf Disease Recognition Dataset（Mendeley Data，V1，DOI: 10.17632/5g238dv4ht.1），许可为CC BY 4.0；正文与数据可用性声明已注明原作者、来源、许可和类别筛选及SHA256去重修改。</w:t>
      </w:r>
    </w:p>
    <w:p>
      <w:pPr>
        <w:pStyle w:val="BodyText"/>
        <w:ind w:firstLine="0"/>
        <w:jc w:val="both"/>
      </w:pPr>
      <w:r>
        <w:rPr>
          <w:rFonts w:ascii="Times New Roman" w:hAnsi="Times New Roman" w:eastAsia="宋体"/>
          <w:i w:val="0"/>
          <w:color w:val="C00000"/>
          <w:sz w:val="21"/>
        </w:rPr>
        <w:t>□ 将全部代码、SHA256去重清单、随机种子级结果和制图脚本归档至GitHub/Zenodo。</w:t>
      </w:r>
    </w:p>
    <w:p>
      <w:pPr>
        <w:pStyle w:val="BodyText"/>
        <w:ind w:firstLine="0"/>
        <w:jc w:val="both"/>
      </w:pPr>
      <w:r>
        <w:rPr>
          <w:rFonts w:ascii="Times New Roman" w:hAnsi="Times New Roman" w:eastAsia="宋体"/>
          <w:i w:val="0"/>
          <w:color w:val="C00000"/>
          <w:sz w:val="21"/>
        </w:rPr>
        <w:t>□ 由植物病理学相关作者核对所有病害英文名称、M数据的类别范围说明和类别级讨论。</w:t>
      </w:r>
    </w:p>
    <w:p>
      <w:pPr>
        <w:pStyle w:val="BodyText"/>
        <w:ind w:firstLine="0"/>
        <w:jc w:val="both"/>
      </w:pPr>
      <w:r>
        <w:rPr>
          <w:rFonts w:ascii="Times New Roman" w:hAnsi="Times New Roman" w:eastAsia="宋体"/>
          <w:i w:val="0"/>
          <w:color w:val="C00000"/>
          <w:sz w:val="21"/>
        </w:rPr>
        <w:t>□ 完成基金、利益冲突、CRediT作者贡献、数据/代码可用性与生成式AI声明。</w:t>
      </w:r>
    </w:p>
    <w:p>
      <w:pPr>
        <w:pStyle w:val="BodyText"/>
        <w:ind w:firstLine="0"/>
        <w:jc w:val="both"/>
      </w:pPr>
      <w:r>
        <w:t>□ 英译后继续按Artificial Intelligence in Agriculture作者指南核对作者—年份正文引文与参考文献的一一对应关系、英文语言、表格三线格式及最终投稿系统要求。</w:t>
      </w:r>
    </w:p>
    <w:p>
      <w:pPr>
        <w:pStyle w:val="BodyText"/>
        <w:ind w:firstLine="0"/>
        <w:jc w:val="both"/>
      </w:pPr>
      <w:r>
        <w:t>☑ 已从实验CSV或明确的方法定义重新生成全部10张图；图内删除完整标题，图注保留在正文；每幅图均已单独导出为矢量PDF和高分辨率TIFF，且未使用生成式AI创建或修改投稿图像。</w:t>
      </w:r>
    </w:p>
    <w:p>
      <w:pPr>
        <w:pStyle w:val="Heading1"/>
      </w:pPr>
      <w:r>
        <w:t>附录D  独立投稿图件文件清单</w:t>
      </w:r>
    </w:p>
    <w:p>
      <w:r>
        <w:t>独立图件文件与本稿嵌入图来自同一制图脚本。V10图件包已同步更新图7中的权重可追溯性说明。投稿时优先提交矢量PDF；若投稿系统要求位图，则提交相应TIFF。图1—图2为1000 dpi TIFF，图3—图10为600 dpi TIFF。</w:t>
      </w:r>
    </w:p>
    <w:p>
      <w:pPr>
        <w:pStyle w:val="ListBullet"/>
      </w:pPr>
      <w:r>
        <w:t>图1：Fig01_Framework.pdf；Fig01_Framework.tif</w:t>
      </w:r>
    </w:p>
    <w:p>
      <w:pPr>
        <w:pStyle w:val="ListBullet"/>
      </w:pPr>
      <w:r>
        <w:t>图2：Fig02_PostHoc_ManyToOne_Mapping.pdf；Fig02_PostHoc_ManyToOne_Mapping.tif</w:t>
      </w:r>
    </w:p>
    <w:p>
      <w:pPr>
        <w:pStyle w:val="ListBullet"/>
      </w:pPr>
      <w:r>
        <w:t>图3：Fig03_Main_C3_Results.pdf；Fig03_Main_C3_Results.tif</w:t>
      </w:r>
    </w:p>
    <w:p>
      <w:pPr>
        <w:pStyle w:val="ListBullet"/>
      </w:pPr>
      <w:r>
        <w:t>图4：Fig04_All_vs_Retained_Clustering_Metrics.pdf；Fig04_All_vs_Retained_Clustering_Metrics.tif</w:t>
      </w:r>
    </w:p>
    <w:p>
      <w:pPr>
        <w:pStyle w:val="ListBullet"/>
      </w:pPr>
      <w:r>
        <w:t>图5：Fig05_Fair_Dimensionality_Reduction.pdf；Fig05_Fair_Dimensionality_Reduction.tif</w:t>
      </w:r>
    </w:p>
    <w:p>
      <w:pPr>
        <w:pStyle w:val="ListBullet"/>
      </w:pPr>
      <w:r>
        <w:t>图6：Fig06_Parameter_Sensitivity.pdf；Fig06_Parameter_Sensitivity.tif</w:t>
      </w:r>
    </w:p>
    <w:p>
      <w:pPr>
        <w:pStyle w:val="ListBullet"/>
      </w:pPr>
      <w:r>
        <w:t>图7：Fig07_External_DINOv2_Baseline.pdf；Fig07_External_DINOv2_Baseline.tif</w:t>
      </w:r>
    </w:p>
    <w:p>
      <w:pPr>
        <w:pStyle w:val="ListBullet"/>
      </w:pPr>
      <w:r>
        <w:t>图8：Fig08_Weak_and_HighRejection_Classes.pdf；Fig08_Weak_and_HighRejection_Classes.tif</w:t>
      </w:r>
    </w:p>
    <w:p>
      <w:pPr>
        <w:pStyle w:val="ListBullet"/>
      </w:pPr>
      <w:r>
        <w:t>图9：Fig09_Retained_Sample_Confusion_Matrices.pdf；Fig09_Retained_Sample_Confusion_Matrices.tif</w:t>
      </w:r>
    </w:p>
    <w:p>
      <w:pPr>
        <w:pStyle w:val="ListBullet"/>
      </w:pPr>
      <w:r>
        <w:t>图10：Fig10_Discrete_Risk_Coverage_Points.pdf；Fig10_Discrete_Risk_Coverage_Points.tif</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646464"/>
        <w:sz w:val="17"/>
      </w:rPr>
      <w:t>基于异构聚类共识拒识的植物病害图像传导式选择性无监督聚类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eastAsia="黑体"/>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60" w:line="300" w:lineRule="auto"/>
      <w:ind w:firstLine="420"/>
    </w:pPr>
    <w:rPr>
      <w:rFonts w:ascii="Times New Roman" w:hAnsi="Times New Roman"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eastAsia="宋体"/>
      <w:b/>
      <w:bCs/>
      <w:i w:val="0"/>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line="252" w:lineRule="auto" w:after="40"/>
      <w:ind w:left="420" w:hanging="420"/>
    </w:pPr>
    <w:rPr>
      <w:rFonts w:ascii="Times New Roman" w:hAnsi="Times New Roman" w:eastAsia="宋体"/>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基于异构聚类共识拒识的植物病害图像传导式选择性无监督聚类</dc:title>
  <dc:subject>中文论文完善稿，包含DINOv2外部无监督基线</dc:subject>
  <dc:creator>python-docx</dc:creator>
  <cp:keywords>植物病害, 无监督聚类, 共识拒识, DINOv2, UMAP</cp:keywords>
  <dc:description>实验结果冻结版；作者与权重来源信息仍需投稿前补充。</dc:description>
  <cp:lastModifiedBy/>
  <cp:revision>1</cp:revision>
  <dcterms:created xsi:type="dcterms:W3CDTF">2013-12-23T23:15:00Z</dcterms:created>
  <dcterms:modified xsi:type="dcterms:W3CDTF">2013-12-23T23:15:00Z</dcterms:modified>
  <cp:category/>
</cp:coreProperties>
</file>