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4DE598">
      <w:pPr>
        <w:spacing w:after="0" w:line="240" w:lineRule="auto"/>
        <w:jc w:val="center"/>
        <w:rPr>
          <w:rFonts w:ascii="Times New Roman" w:hAnsi="Times New Roman" w:eastAsia="黑体" w:cs="Times New Roman"/>
          <w:b/>
          <w:bCs/>
          <w:sz w:val="30"/>
          <w:szCs w:val="30"/>
        </w:rPr>
      </w:pPr>
      <w:r>
        <w:rPr>
          <w:rFonts w:ascii="Times New Roman" w:hAnsi="Times New Roman" w:eastAsia="黑体" w:cs="Times New Roman"/>
          <w:b/>
          <w:bCs/>
          <w:sz w:val="30"/>
          <w:szCs w:val="30"/>
        </w:rPr>
        <w:t>SW576超节点系统</w:t>
      </w:r>
    </w:p>
    <w:p w14:paraId="7E6DCCCF">
      <w:pPr>
        <w:spacing w:after="0" w:line="240" w:lineRule="auto"/>
        <w:jc w:val="center"/>
        <w:rPr>
          <w:rFonts w:ascii="Times New Roman" w:hAnsi="Times New Roman" w:eastAsia="黑体" w:cs="Times New Roman"/>
          <w:b/>
          <w:bCs/>
          <w:sz w:val="30"/>
          <w:szCs w:val="30"/>
        </w:rPr>
      </w:pPr>
      <w:r>
        <w:rPr>
          <w:rFonts w:ascii="Times New Roman" w:hAnsi="Times New Roman" w:eastAsia="黑体" w:cs="Times New Roman"/>
          <w:b/>
          <w:bCs/>
          <w:sz w:val="30"/>
          <w:szCs w:val="30"/>
        </w:rPr>
        <w:t>内存池化SDecoder和SMMU部件设计方案</w:t>
      </w:r>
    </w:p>
    <w:p w14:paraId="5557242C">
      <w:pPr>
        <w:adjustRightInd w:val="0"/>
        <w:snapToGrid w:val="0"/>
        <w:spacing w:after="0" w:line="360" w:lineRule="auto"/>
        <w:jc w:val="both"/>
        <w:rPr>
          <w:rFonts w:ascii="Times New Roman" w:hAnsi="Times New Roman" w:eastAsia="华文仿宋" w:cs="Times New Roman"/>
          <w:sz w:val="24"/>
        </w:rPr>
      </w:pPr>
    </w:p>
    <w:p w14:paraId="0B13994F">
      <w:pPr>
        <w:adjustRightInd w:val="0"/>
        <w:snapToGrid w:val="0"/>
        <w:spacing w:after="0" w:line="360" w:lineRule="auto"/>
        <w:jc w:val="both"/>
        <w:rPr>
          <w:rFonts w:ascii="Times New Roman" w:hAnsi="Times New Roman" w:eastAsia="华文仿宋" w:cs="Times New Roman"/>
          <w:sz w:val="24"/>
        </w:rPr>
      </w:pPr>
      <w:r>
        <w:rPr>
          <w:rFonts w:ascii="Times New Roman" w:hAnsi="Times New Roman" w:eastAsia="华文仿宋" w:cs="Times New Roman"/>
          <w:sz w:val="24"/>
        </w:rPr>
        <w:t>创建时间：2026.08.11</w:t>
      </w:r>
    </w:p>
    <w:p w14:paraId="09ED1FB4">
      <w:pPr>
        <w:adjustRightInd w:val="0"/>
        <w:snapToGrid w:val="0"/>
        <w:spacing w:after="0" w:line="360" w:lineRule="auto"/>
        <w:jc w:val="both"/>
        <w:rPr>
          <w:rFonts w:hint="eastAsia" w:ascii="Times New Roman" w:hAnsi="Times New Roman" w:eastAsia="华文仿宋" w:cs="Times New Roman"/>
          <w:sz w:val="24"/>
          <w:lang w:val="en-US" w:eastAsia="zh-CN"/>
        </w:rPr>
      </w:pPr>
      <w:r>
        <w:rPr>
          <w:rFonts w:ascii="Times New Roman" w:hAnsi="Times New Roman" w:eastAsia="华文仿宋" w:cs="Times New Roman"/>
          <w:sz w:val="24"/>
        </w:rPr>
        <w:t>更新时间：2026.09.1</w:t>
      </w:r>
      <w:r>
        <w:rPr>
          <w:rFonts w:hint="eastAsia" w:ascii="Times New Roman" w:hAnsi="Times New Roman" w:eastAsia="华文仿宋" w:cs="Times New Roman"/>
          <w:sz w:val="24"/>
          <w:lang w:val="en-US" w:eastAsia="zh-CN"/>
        </w:rPr>
        <w:t>9</w:t>
      </w:r>
    </w:p>
    <w:p w14:paraId="68E5F21D">
      <w:pPr>
        <w:adjustRightInd w:val="0"/>
        <w:snapToGrid w:val="0"/>
        <w:spacing w:after="0" w:line="360" w:lineRule="auto"/>
        <w:jc w:val="both"/>
        <w:rPr>
          <w:rFonts w:ascii="Times New Roman" w:hAnsi="Times New Roman" w:eastAsia="华文仿宋" w:cs="Times New Roman"/>
          <w:sz w:val="24"/>
        </w:rPr>
      </w:pPr>
      <w:r>
        <w:rPr>
          <w:rFonts w:ascii="Times New Roman" w:hAnsi="Times New Roman" w:eastAsia="华文仿宋" w:cs="Times New Roman"/>
          <w:sz w:val="24"/>
        </w:rPr>
        <w:t>主要撰写人：外网略</w:t>
      </w:r>
    </w:p>
    <w:p w14:paraId="58862570">
      <w:pPr>
        <w:adjustRightInd w:val="0"/>
        <w:snapToGrid w:val="0"/>
        <w:spacing w:after="0" w:line="360" w:lineRule="auto"/>
        <w:jc w:val="both"/>
        <w:rPr>
          <w:rFonts w:hint="eastAsia" w:ascii="Times New Roman" w:hAnsi="Times New Roman" w:eastAsia="华文仿宋" w:cs="Times New Roman"/>
          <w:sz w:val="24"/>
          <w:lang w:val="en-US" w:eastAsia="zh-CN"/>
        </w:rPr>
      </w:pPr>
      <w:r>
        <w:rPr>
          <w:rFonts w:ascii="Times New Roman" w:hAnsi="Times New Roman" w:eastAsia="华文仿宋" w:cs="Times New Roman"/>
          <w:sz w:val="24"/>
        </w:rPr>
        <w:t>版本号：v2.</w:t>
      </w:r>
      <w:r>
        <w:rPr>
          <w:rFonts w:hint="eastAsia" w:ascii="Times New Roman" w:hAnsi="Times New Roman" w:eastAsia="华文仿宋" w:cs="Times New Roman"/>
          <w:sz w:val="24"/>
          <w:lang w:val="en-US" w:eastAsia="zh-CN"/>
        </w:rPr>
        <w:t>6</w:t>
      </w:r>
    </w:p>
    <w:p w14:paraId="04FBC106">
      <w:pPr>
        <w:adjustRightInd w:val="0"/>
        <w:snapToGrid w:val="0"/>
        <w:spacing w:after="0" w:line="360" w:lineRule="auto"/>
        <w:jc w:val="both"/>
        <w:rPr>
          <w:rFonts w:ascii="Times New Roman" w:hAnsi="Times New Roman" w:eastAsia="华文仿宋" w:cs="Times New Roman"/>
          <w:sz w:val="24"/>
        </w:rPr>
      </w:pPr>
    </w:p>
    <w:p w14:paraId="4928B202">
      <w:pPr>
        <w:pStyle w:val="45"/>
      </w:pPr>
      <w:r>
        <w:t>背景需求</w:t>
      </w:r>
    </w:p>
    <w:p w14:paraId="3941E4B9">
      <w:pPr>
        <w:spacing w:after="0" w:line="360" w:lineRule="auto"/>
        <w:ind w:firstLine="560" w:firstLineChars="200"/>
        <w:jc w:val="both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SW新一代智能芯片组由C1、A3、X1三款芯片构成。基于这三款芯片构建的SW576超节点系统，拟实现“对等互连、统一编址、内存共享”的功能特性，因此需要支持内存提供方（Home侧）和内存使用方（User侧）的统一地址编址，支持内存池化共享。</w:t>
      </w:r>
    </w:p>
    <w:p w14:paraId="2FF0598F">
      <w:pPr>
        <w:spacing w:after="0" w:line="360" w:lineRule="auto"/>
        <w:ind w:firstLine="560" w:firstLineChars="200"/>
        <w:jc w:val="both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其中，“对等互连”是指超节点系统中C1芯片和A3芯片均采用内存注册机制实现内存池化共享。“统一编址”是相对超节点大内存池而言，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内存池虚地址（GVA）可以跨节点直接引用</w:t>
      </w:r>
      <w:r>
        <w:rPr>
          <w:rFonts w:ascii="Times New Roman" w:hAnsi="Times New Roman" w:eastAsia="宋体" w:cs="Times New Roman"/>
          <w:sz w:val="28"/>
          <w:szCs w:val="28"/>
        </w:rPr>
        <w:t>，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一定对应相同的</w:t>
      </w:r>
      <w:r>
        <w:rPr>
          <w:rFonts w:ascii="Times New Roman" w:hAnsi="Times New Roman" w:eastAsia="宋体" w:cs="Times New Roman"/>
          <w:sz w:val="28"/>
          <w:szCs w:val="28"/>
        </w:rPr>
        <w:t>物理位置。</w:t>
      </w:r>
    </w:p>
    <w:p w14:paraId="32A8A050">
      <w:pPr>
        <w:pStyle w:val="45"/>
      </w:pPr>
      <w:r>
        <w:rPr>
          <w:rFonts w:hint="eastAsia"/>
          <w:lang w:val="en-US" w:eastAsia="zh-CN"/>
        </w:rPr>
        <w:t>地址空间说明</w:t>
      </w:r>
    </w:p>
    <w:p w14:paraId="0A1ADCFB">
      <w:pPr>
        <w:spacing w:after="0" w:line="360" w:lineRule="auto"/>
        <w:ind w:firstLine="560" w:firstLineChars="200"/>
        <w:jc w:val="both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C1芯片核心（即ACore-1核心）支持的地址宽度相对CoreX系列核心保持不变。虚地址VA保持53位（[52:0]），共8PB空间；物理地址PA保持48位（[47:0]），最高位仍然用于区分Mem空间（PA[47]位为0）和IO空间（PA[47]位为1），因此Mem空间和IO空间均为128TB。</w:t>
      </w:r>
    </w:p>
    <w:p w14:paraId="439C3A56">
      <w:pPr>
        <w:spacing w:after="0" w:line="360" w:lineRule="auto"/>
        <w:ind w:firstLine="560" w:firstLineChars="200"/>
        <w:jc w:val="both"/>
        <w:rPr>
          <w:rFonts w:ascii="Times New Roman" w:hAnsi="Times New Roman" w:eastAsia="宋体" w:cs="Times New Roman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远端内存访问</w:t>
      </w:r>
      <w:r>
        <w:rPr>
          <w:rFonts w:hint="eastAsia" w:ascii="Times New Roman" w:hAnsi="Times New Roman" w:eastAsia="宋体" w:cs="Times New Roman"/>
          <w:sz w:val="28"/>
          <w:szCs w:val="28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物理位置在远端</w:t>
      </w:r>
      <w:r>
        <w:rPr>
          <w:rFonts w:hint="eastAsia" w:ascii="Times New Roman" w:hAnsi="Times New Roman" w:eastAsia="宋体" w:cs="Times New Roman"/>
          <w:sz w:val="28"/>
          <w:szCs w:val="28"/>
          <w:lang w:eastAsia="zh-CN"/>
        </w:rPr>
        <w:t>）</w:t>
      </w:r>
      <w:r>
        <w:rPr>
          <w:rFonts w:ascii="Times New Roman" w:hAnsi="Times New Roman" w:eastAsia="宋体" w:cs="Times New Roman"/>
          <w:sz w:val="28"/>
          <w:szCs w:val="28"/>
        </w:rPr>
        <w:t>对于ACore-1核心而言是透明的（即ACore-1核心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对</w:t>
      </w:r>
      <w:r>
        <w:rPr>
          <w:rFonts w:ascii="Times New Roman" w:hAnsi="Times New Roman" w:eastAsia="宋体" w:cs="Times New Roman"/>
          <w:sz w:val="28"/>
          <w:szCs w:val="28"/>
        </w:rPr>
        <w:t>本地内存访问和远端内存访问不做区分）</w:t>
      </w:r>
      <w:r>
        <w:rPr>
          <w:rFonts w:hint="eastAsia" w:ascii="Times New Roman" w:hAnsi="Times New Roman" w:eastAsia="宋体" w:cs="Times New Roman"/>
          <w:sz w:val="28"/>
          <w:szCs w:val="28"/>
          <w:lang w:eastAsia="zh-CN"/>
        </w:rPr>
        <w:t>，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但</w:t>
      </w:r>
      <w:r>
        <w:rPr>
          <w:rFonts w:ascii="Times New Roman" w:hAnsi="Times New Roman" w:eastAsia="宋体" w:cs="Times New Roman"/>
          <w:sz w:val="28"/>
          <w:szCs w:val="28"/>
        </w:rPr>
        <w:t>要求ACore-1核心对远端内存必须是虚地址访问（与对本地内存的虚地址访问一致），且必须是不可Cache访问</w:t>
      </w:r>
      <w:r>
        <w:rPr>
          <w:rFonts w:hint="eastAsia" w:ascii="Times New Roman" w:hAnsi="Times New Roman" w:eastAsia="宋体" w:cs="Times New Roman"/>
          <w:sz w:val="28"/>
          <w:szCs w:val="28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在</w:t>
      </w:r>
      <w:r>
        <w:rPr>
          <w:rFonts w:ascii="Times New Roman" w:hAnsi="Times New Roman" w:eastAsia="宋体" w:cs="Times New Roman"/>
          <w:sz w:val="28"/>
          <w:szCs w:val="28"/>
        </w:rPr>
        <w:t>页表中填写NCSpace标志</w:t>
      </w:r>
      <w:r>
        <w:rPr>
          <w:rFonts w:hint="eastAsia" w:ascii="Times New Roman" w:hAnsi="Times New Roman" w:eastAsia="宋体" w:cs="Times New Roman"/>
          <w:sz w:val="28"/>
          <w:szCs w:val="28"/>
          <w:lang w:eastAsia="zh-CN"/>
        </w:rPr>
        <w:t>）。</w:t>
      </w:r>
      <w:r>
        <w:rPr>
          <w:rFonts w:ascii="Times New Roman" w:hAnsi="Times New Roman" w:eastAsia="宋体" w:cs="Times New Roman"/>
          <w:b/>
          <w:bCs/>
          <w:sz w:val="28"/>
          <w:szCs w:val="28"/>
        </w:rPr>
        <w:t>特别的，推测路径上</w:t>
      </w:r>
      <w:r>
        <w:rPr>
          <w:rFonts w:hint="eastAsia" w:ascii="Times New Roman" w:hAnsi="Times New Roman" w:eastAsia="宋体" w:cs="Times New Roman"/>
          <w:b/>
          <w:bCs/>
          <w:sz w:val="28"/>
          <w:szCs w:val="28"/>
          <w:lang w:val="en-US" w:eastAsia="zh-CN"/>
        </w:rPr>
        <w:t>的</w:t>
      </w:r>
      <w:r>
        <w:rPr>
          <w:rFonts w:ascii="Times New Roman" w:hAnsi="Times New Roman" w:eastAsia="宋体" w:cs="Times New Roman"/>
          <w:b/>
          <w:bCs/>
          <w:sz w:val="28"/>
          <w:szCs w:val="28"/>
        </w:rPr>
        <w:t>直接物理地址访问</w:t>
      </w:r>
      <w:r>
        <w:rPr>
          <w:rFonts w:hint="eastAsia" w:ascii="Times New Roman" w:hAnsi="Times New Roman" w:eastAsia="宋体" w:cs="Times New Roman"/>
          <w:b/>
          <w:bCs/>
          <w:sz w:val="28"/>
          <w:szCs w:val="28"/>
          <w:lang w:val="en-US" w:eastAsia="zh-CN"/>
        </w:rPr>
        <w:t>可能指向远端内存</w:t>
      </w:r>
      <w:r>
        <w:rPr>
          <w:rFonts w:ascii="Times New Roman" w:hAnsi="Times New Roman" w:eastAsia="宋体" w:cs="Times New Roman"/>
          <w:b/>
          <w:bCs/>
          <w:sz w:val="28"/>
          <w:szCs w:val="28"/>
        </w:rPr>
        <w:t>。</w:t>
      </w:r>
    </w:p>
    <w:p w14:paraId="5B76D513">
      <w:pPr>
        <w:spacing w:after="0" w:line="360" w:lineRule="auto"/>
        <w:ind w:firstLine="560" w:firstLineChars="200"/>
        <w:jc w:val="both"/>
        <w:rPr>
          <w:rFonts w:ascii="Times New Roman" w:hAnsi="Times New Roman" w:eastAsia="华文仿宋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ACore-1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核心只负责根据MMU代换得到物理地址PA（该OS视角下的物理地址，含远端内存）。核外一致性处理部件（LCPM）会根据地址界标（软件可配置）</w:t>
      </w:r>
      <w:r>
        <w:rPr>
          <w:rFonts w:ascii="Times New Roman" w:hAnsi="Times New Roman" w:eastAsia="宋体" w:cs="Times New Roman"/>
          <w:sz w:val="28"/>
          <w:szCs w:val="28"/>
        </w:rPr>
        <w:t>判定是本地内存或者远端内存。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本地内存访问由本芯片LCPM处理，远端内存访问会通过SWLink发到目标芯片。</w:t>
      </w:r>
      <w:r>
        <w:rPr>
          <w:rFonts w:hint="eastAsia" w:ascii="Times New Roman" w:hAnsi="Times New Roman" w:eastAsia="宋体" w:cs="Times New Roman"/>
          <w:b/>
          <w:bCs/>
          <w:sz w:val="28"/>
          <w:szCs w:val="28"/>
          <w:lang w:val="en-US" w:eastAsia="zh-CN"/>
        </w:rPr>
        <w:t>特别的，如果基于本地内存与其他芯片进行共享交互，对本芯片而言推荐使用本地视角（即不要映射到远程PA，否则会经过SWLink环回）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。</w:t>
      </w:r>
    </w:p>
    <w:p w14:paraId="78D91FF4">
      <w:pPr>
        <w:pStyle w:val="45"/>
      </w:pPr>
      <w:r>
        <w:rPr>
          <w:rFonts w:hint="eastAsia"/>
          <w:lang w:val="en-US" w:eastAsia="zh-CN"/>
        </w:rPr>
        <w:t>术语说明</w:t>
      </w:r>
    </w:p>
    <w:p w14:paraId="7EE27E9C">
      <w:pPr>
        <w:spacing w:after="0" w:line="360" w:lineRule="auto"/>
        <w:ind w:firstLine="560" w:firstLineChars="200"/>
        <w:jc w:val="both"/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ascii="Times New Roman" w:hAnsi="Times New Roman" w:eastAsia="宋体" w:cs="Times New Roman"/>
          <w:sz w:val="28"/>
          <w:szCs w:val="28"/>
        </w:rPr>
        <w:t>Home是内存物理资源的拥有者，User是内存物理资源的访问者。User基于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三元组（EID+TokenID+UBA）和相应的地址代换逻辑完成对远端内存的访问。</w:t>
      </w:r>
    </w:p>
    <w:p w14:paraId="7D6647BE">
      <w:pPr>
        <w:spacing w:after="0" w:line="360" w:lineRule="auto"/>
        <w:jc w:val="center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表3-1 术语说明</w:t>
      </w: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467"/>
        <w:gridCol w:w="2781"/>
        <w:gridCol w:w="4048"/>
      </w:tblGrid>
      <w:tr w14:paraId="03D29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67" w:type="dxa"/>
          </w:tcPr>
          <w:p w14:paraId="4B54E274">
            <w:pPr>
              <w:numPr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  <w:t>术语</w:t>
            </w:r>
          </w:p>
        </w:tc>
        <w:tc>
          <w:tcPr>
            <w:tcW w:w="2781" w:type="dxa"/>
          </w:tcPr>
          <w:p w14:paraId="4691B328">
            <w:pPr>
              <w:numPr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4048" w:type="dxa"/>
          </w:tcPr>
          <w:p w14:paraId="1C4C0E3D">
            <w:pPr>
              <w:numPr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  <w:t>用于</w:t>
            </w:r>
          </w:p>
        </w:tc>
      </w:tr>
      <w:tr w14:paraId="3E0B03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67" w:type="dxa"/>
          </w:tcPr>
          <w:p w14:paraId="7F776608">
            <w:pPr>
              <w:numPr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  <w:t>EID</w:t>
            </w:r>
          </w:p>
        </w:tc>
        <w:tc>
          <w:tcPr>
            <w:tcW w:w="2781" w:type="dxa"/>
          </w:tcPr>
          <w:p w14:paraId="36F4929E">
            <w:pPr>
              <w:numPr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Entity Identifier</w:t>
            </w:r>
          </w:p>
        </w:tc>
        <w:tc>
          <w:tcPr>
            <w:tcW w:w="4048" w:type="dxa"/>
          </w:tcPr>
          <w:p w14:paraId="2A269188">
            <w:pPr>
              <w:numPr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  <w:t>用于SWLink网络路由。</w:t>
            </w:r>
          </w:p>
        </w:tc>
      </w:tr>
      <w:tr w14:paraId="462CD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67" w:type="dxa"/>
          </w:tcPr>
          <w:p w14:paraId="7BBB4C0F">
            <w:pPr>
              <w:numPr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  <w:t>TokenID</w:t>
            </w:r>
          </w:p>
        </w:tc>
        <w:tc>
          <w:tcPr>
            <w:tcW w:w="2781" w:type="dxa"/>
          </w:tcPr>
          <w:p w14:paraId="6E48E91C">
            <w:pPr>
              <w:numPr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  <w:t xml:space="preserve">Token 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Identifier</w:t>
            </w:r>
          </w:p>
        </w:tc>
        <w:tc>
          <w:tcPr>
            <w:tcW w:w="4048" w:type="dxa"/>
          </w:tcPr>
          <w:p w14:paraId="251E1726">
            <w:pPr>
              <w:numPr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  <w:t>用于索引得到句柄信息。</w:t>
            </w:r>
          </w:p>
          <w:p w14:paraId="0E30563B">
            <w:pPr>
              <w:numPr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highlight w:val="none"/>
                <w:vertAlign w:val="baseline"/>
                <w:lang w:val="en-US" w:eastAsia="zh-CN"/>
              </w:rPr>
              <w:t>一个逻辑池使用相同的TokenID，相同逻辑池中不同Home导出的UBA连续（且TokenID相同）。导出时以哪个UBA地址对外可见由上层管理服务指定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highlight w:val="yellow"/>
                <w:vertAlign w:val="baseline"/>
                <w:lang w:val="en-US" w:eastAsia="zh-CN"/>
              </w:rPr>
              <w:t>（与V2.5版相比，TockenID的理解有变化）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  <w:t>。</w:t>
            </w:r>
          </w:p>
        </w:tc>
      </w:tr>
      <w:tr w14:paraId="393C0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67" w:type="dxa"/>
          </w:tcPr>
          <w:p w14:paraId="38493B8F">
            <w:pPr>
              <w:numPr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  <w:t>UBA</w:t>
            </w:r>
          </w:p>
        </w:tc>
        <w:tc>
          <w:tcPr>
            <w:tcW w:w="2781" w:type="dxa"/>
          </w:tcPr>
          <w:p w14:paraId="35AE4BDA">
            <w:pPr>
              <w:numPr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  <w:t>Address</w:t>
            </w:r>
          </w:p>
        </w:tc>
        <w:tc>
          <w:tcPr>
            <w:tcW w:w="4048" w:type="dxa"/>
          </w:tcPr>
          <w:p w14:paraId="72A28E66">
            <w:pPr>
              <w:numPr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  <w:t>虚地址</w:t>
            </w:r>
          </w:p>
        </w:tc>
      </w:tr>
      <w:tr w14:paraId="2BD0CC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67" w:type="dxa"/>
          </w:tcPr>
          <w:p w14:paraId="774FF10A">
            <w:pPr>
              <w:numPr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  <w:t>SMD</w:t>
            </w:r>
          </w:p>
        </w:tc>
        <w:tc>
          <w:tcPr>
            <w:tcW w:w="2781" w:type="dxa"/>
          </w:tcPr>
          <w:p w14:paraId="653FCCA2">
            <w:pPr>
              <w:numPr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SW Memory Descriptor</w:t>
            </w:r>
          </w:p>
        </w:tc>
        <w:tc>
          <w:tcPr>
            <w:tcW w:w="4048" w:type="dxa"/>
          </w:tcPr>
          <w:p w14:paraId="795C6704">
            <w:pPr>
              <w:numPr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  <w:t>内存描述符（即三元组），用于描述576超节点系统中的共享内存段。</w:t>
            </w:r>
          </w:p>
        </w:tc>
      </w:tr>
      <w:tr w14:paraId="5499C3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67" w:type="dxa"/>
          </w:tcPr>
          <w:p w14:paraId="143532F0">
            <w:pPr>
              <w:numPr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  <w:t>GVA</w:t>
            </w:r>
          </w:p>
        </w:tc>
        <w:tc>
          <w:tcPr>
            <w:tcW w:w="2781" w:type="dxa"/>
          </w:tcPr>
          <w:p w14:paraId="47C6E86B">
            <w:pPr>
              <w:numPr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全局虚地址</w:t>
            </w:r>
          </w:p>
        </w:tc>
        <w:tc>
          <w:tcPr>
            <w:tcW w:w="4048" w:type="dxa"/>
          </w:tcPr>
          <w:p w14:paraId="71916D87">
            <w:pPr>
              <w:numPr>
                <w:numId w:val="0"/>
              </w:numPr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  <w:t>核心（ACore-1或ICore）视角下的虚地址。</w:t>
            </w:r>
          </w:p>
          <w:p w14:paraId="7FE32628">
            <w:pPr>
              <w:numPr>
                <w:numId w:val="0"/>
              </w:num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  <w:t>对于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  <w:t>超节点大内存池而言，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  <w:t>该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  <w:t>虚地址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  <w:t>视为全局虚地址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  <w:t>（GVA）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  <w:t>，GVA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  <w:t>可以跨节点直接引用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  <w:t>（全系统的load/store访问）。</w:t>
            </w:r>
          </w:p>
        </w:tc>
      </w:tr>
    </w:tbl>
    <w:p w14:paraId="06803C2F">
      <w:pPr>
        <w:spacing w:after="0" w:line="360" w:lineRule="auto"/>
        <w:jc w:val="both"/>
        <w:rPr>
          <w:rFonts w:ascii="Times New Roman" w:hAnsi="Times New Roman" w:eastAsia="宋体" w:cs="Times New Roman"/>
          <w:sz w:val="28"/>
          <w:szCs w:val="28"/>
        </w:rPr>
      </w:pPr>
    </w:p>
    <w:p w14:paraId="4D98395E">
      <w:pPr>
        <w:pStyle w:val="45"/>
      </w:pPr>
      <w:r>
        <w:rPr>
          <w:rFonts w:hint="eastAsia"/>
          <w:lang w:val="en-US" w:eastAsia="zh-CN"/>
        </w:rPr>
        <w:t>访存流程说明</w:t>
      </w:r>
    </w:p>
    <w:p w14:paraId="552E3336">
      <w:pPr>
        <w:spacing w:after="0" w:line="360" w:lineRule="auto"/>
        <w:jc w:val="center"/>
        <w:rPr>
          <w:rFonts w:hint="default"/>
          <w:lang w:val="en-US"/>
        </w:rPr>
      </w:pP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表4-1 C1和A3（ICore）支持的访存操作</w:t>
      </w:r>
    </w:p>
    <w:tbl>
      <w:tblPr>
        <w:tblStyle w:val="19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7"/>
        <w:gridCol w:w="3179"/>
        <w:gridCol w:w="1509"/>
        <w:gridCol w:w="1961"/>
      </w:tblGrid>
      <w:tr w14:paraId="657E0E6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c>
          <w:tcPr>
            <w:tcW w:w="1668" w:type="dxa"/>
          </w:tcPr>
          <w:p w14:paraId="7785A667"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类型</w:t>
            </w:r>
          </w:p>
        </w:tc>
        <w:tc>
          <w:tcPr>
            <w:tcW w:w="3260" w:type="dxa"/>
          </w:tcPr>
          <w:p w14:paraId="5D4DC842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数据传输</w:t>
            </w:r>
          </w:p>
        </w:tc>
        <w:tc>
          <w:tcPr>
            <w:tcW w:w="1567" w:type="dxa"/>
          </w:tcPr>
          <w:p w14:paraId="0C087C26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C1</w:t>
            </w:r>
          </w:p>
        </w:tc>
        <w:tc>
          <w:tcPr>
            <w:tcW w:w="2027" w:type="dxa"/>
          </w:tcPr>
          <w:p w14:paraId="3C8F6E0F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iC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o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re</w:t>
            </w:r>
          </w:p>
        </w:tc>
      </w:tr>
      <w:tr w14:paraId="2FCB51A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</w:tcPr>
          <w:p w14:paraId="2FFADD1C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Load/store</w:t>
            </w:r>
          </w:p>
        </w:tc>
        <w:tc>
          <w:tcPr>
            <w:tcW w:w="3260" w:type="dxa"/>
          </w:tcPr>
          <w:p w14:paraId="4601394A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寄存器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sym w:font="Wingdings" w:char="F0DF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sym w:font="Wingdings" w:char="F0E0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HBM或DDR</w:t>
            </w:r>
          </w:p>
        </w:tc>
        <w:tc>
          <w:tcPr>
            <w:tcW w:w="1567" w:type="dxa"/>
          </w:tcPr>
          <w:p w14:paraId="37FF959D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支持</w:t>
            </w:r>
          </w:p>
        </w:tc>
        <w:tc>
          <w:tcPr>
            <w:tcW w:w="2027" w:type="dxa"/>
          </w:tcPr>
          <w:p w14:paraId="631B77AF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支持</w:t>
            </w:r>
          </w:p>
        </w:tc>
      </w:tr>
      <w:tr w14:paraId="4962A21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</w:tcPr>
          <w:p w14:paraId="2607A49F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iDMA</w:t>
            </w:r>
          </w:p>
        </w:tc>
        <w:tc>
          <w:tcPr>
            <w:tcW w:w="3260" w:type="dxa"/>
          </w:tcPr>
          <w:p w14:paraId="0E432967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LDM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(SM)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sym w:font="Wingdings" w:char="F0DF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sym w:font="Wingdings" w:char="F0E0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HBM或DDR</w:t>
            </w:r>
          </w:p>
        </w:tc>
        <w:tc>
          <w:tcPr>
            <w:tcW w:w="1567" w:type="dxa"/>
          </w:tcPr>
          <w:p w14:paraId="41980C64">
            <w:pPr>
              <w:rPr>
                <w:rFonts w:hint="eastAsia" w:ascii="宋体" w:hAnsi="宋体" w:eastAsia="宋体" w:cs="宋体"/>
                <w:b/>
                <w:bCs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0000"/>
                <w:sz w:val="21"/>
                <w:szCs w:val="21"/>
              </w:rPr>
              <w:t>不支持</w:t>
            </w:r>
          </w:p>
        </w:tc>
        <w:tc>
          <w:tcPr>
            <w:tcW w:w="2027" w:type="dxa"/>
          </w:tcPr>
          <w:p w14:paraId="0120261C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支持</w:t>
            </w:r>
          </w:p>
        </w:tc>
      </w:tr>
      <w:tr w14:paraId="55A0F49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</w:tcPr>
          <w:p w14:paraId="67F2173D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XMA</w:t>
            </w:r>
          </w:p>
        </w:tc>
        <w:tc>
          <w:tcPr>
            <w:tcW w:w="3260" w:type="dxa"/>
          </w:tcPr>
          <w:p w14:paraId="4D726942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HBM或DDR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sym w:font="Wingdings" w:char="F0DF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sym w:font="Wingdings" w:char="F0E0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HBM或DDR</w:t>
            </w:r>
          </w:p>
        </w:tc>
        <w:tc>
          <w:tcPr>
            <w:tcW w:w="1567" w:type="dxa"/>
          </w:tcPr>
          <w:p w14:paraId="393CEA9C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支持</w:t>
            </w:r>
          </w:p>
        </w:tc>
        <w:tc>
          <w:tcPr>
            <w:tcW w:w="2027" w:type="dxa"/>
          </w:tcPr>
          <w:p w14:paraId="71013025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支持</w:t>
            </w:r>
          </w:p>
        </w:tc>
      </w:tr>
    </w:tbl>
    <w:p w14:paraId="2E0B7D00">
      <w:pPr>
        <w:pStyle w:val="46"/>
      </w:pPr>
      <w:r>
        <w:rPr>
          <w:rFonts w:hint="eastAsia"/>
          <w:lang w:val="en-US" w:eastAsia="zh-CN"/>
        </w:rPr>
        <w:t>Load/Store（iDMA）</w:t>
      </w:r>
    </w:p>
    <w:p w14:paraId="132D0311">
      <w:pPr>
        <w:spacing w:after="0" w:line="360" w:lineRule="auto"/>
        <w:jc w:val="center"/>
        <w:rPr>
          <w:rFonts w:ascii="Times New Roman" w:hAnsi="Times New Roman" w:eastAsia="宋体" w:cs="Times New Roman"/>
          <w:sz w:val="28"/>
          <w:szCs w:val="28"/>
        </w:rPr>
      </w:pPr>
      <w:r>
        <w:drawing>
          <wp:inline distT="0" distB="0" distL="114300" distR="114300">
            <wp:extent cx="4700905" cy="4037965"/>
            <wp:effectExtent l="0" t="0" r="10795" b="63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00905" cy="403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4CD42">
      <w:pPr>
        <w:spacing w:after="0" w:line="360" w:lineRule="auto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图4-1 Load/Store过程</w:t>
      </w:r>
    </w:p>
    <w:p w14:paraId="08FB8595">
      <w:pPr>
        <w:pStyle w:val="46"/>
      </w:pPr>
      <w:r>
        <w:rPr>
          <w:rFonts w:hint="eastAsia"/>
          <w:lang w:val="en-US" w:eastAsia="zh-CN"/>
        </w:rPr>
        <w:t>XMA</w:t>
      </w:r>
    </w:p>
    <w:p w14:paraId="3AB127F2">
      <w:pPr>
        <w:spacing w:after="0" w:line="360" w:lineRule="auto"/>
        <w:jc w:val="both"/>
      </w:pPr>
      <w:r>
        <w:drawing>
          <wp:inline distT="0" distB="0" distL="114300" distR="114300">
            <wp:extent cx="5250180" cy="2678430"/>
            <wp:effectExtent l="0" t="0" r="7620" b="127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0180" cy="267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12806">
      <w:pPr>
        <w:spacing w:after="0" w:line="360" w:lineRule="auto"/>
        <w:jc w:val="center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图4-2 XMA过程</w:t>
      </w:r>
    </w:p>
    <w:p w14:paraId="0681F9EB">
      <w:pPr>
        <w:spacing w:after="0" w:line="360" w:lineRule="auto"/>
        <w:ind w:firstLine="420"/>
        <w:jc w:val="both"/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说明：XMA描述符本地地址是虚地址，基于SMMU同一套逻辑进行地址代换（与核心MMU不是同一套表，只是映射关系相同。SMMU设计见第5章）。XMA描述符远端地址是三元组，直接通过SWLINK发送到远端，由远端侧的SMMU完成地址代换。</w:t>
      </w:r>
    </w:p>
    <w:p w14:paraId="00917D11">
      <w:pPr>
        <w:pStyle w:val="45"/>
      </w:pPr>
      <w:r>
        <w:t>内存池化地址代换设计</w:t>
      </w:r>
    </w:p>
    <w:p w14:paraId="09D1BF53">
      <w:pPr>
        <w:pStyle w:val="46"/>
      </w:pPr>
      <w:r>
        <w:t>SDecoder设计</w:t>
      </w:r>
    </w:p>
    <w:p w14:paraId="4EA5849B">
      <w:pPr>
        <w:spacing w:after="0" w:line="360" w:lineRule="auto"/>
        <w:ind w:firstLine="560" w:firstLineChars="200"/>
        <w:jc w:val="both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SDecoder作为576超节点系统中User侧CPU/GPU/xPU（在Load/Store同步访问时）对SMD访问的入口，在User侧按需将本地PA转换为SMD发送给Home侧。具体通过查找SDecoder Table，完成PA→SMD的地址转换。</w:t>
      </w:r>
    </w:p>
    <w:p w14:paraId="3EDD03A7">
      <w:pPr>
        <w:spacing w:line="360" w:lineRule="auto"/>
        <w:jc w:val="center"/>
        <w:rPr>
          <w:rFonts w:ascii="Times New Roman" w:hAnsi="Times New Roman" w:eastAsia="华文仿宋" w:cs="Times New Roman"/>
          <w:sz w:val="28"/>
          <w:szCs w:val="28"/>
        </w:rPr>
      </w:pPr>
      <w:r>
        <w:rPr>
          <w:rFonts w:ascii="Times New Roman" w:hAnsi="Times New Roman" w:eastAsia="华文仿宋" w:cs="Times New Roman"/>
          <w:sz w:val="28"/>
          <w:szCs w:val="28"/>
        </w:rPr>
        <w:drawing>
          <wp:inline distT="0" distB="0" distL="0" distR="0">
            <wp:extent cx="5151120" cy="1158240"/>
            <wp:effectExtent l="0" t="0" r="0" b="3810"/>
            <wp:docPr id="38478885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788856" name="图片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65432" cy="11616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FE1F33D">
      <w:pPr>
        <w:spacing w:after="0" w:line="360" w:lineRule="auto"/>
        <w:jc w:val="center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4"/>
        </w:rPr>
        <w:t>图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5-1</w:t>
      </w:r>
      <w:r>
        <w:rPr>
          <w:rFonts w:ascii="Times New Roman" w:hAnsi="Times New Roman" w:eastAsia="宋体" w:cs="Times New Roman"/>
          <w:sz w:val="24"/>
        </w:rPr>
        <w:t>：SDecoder功能：User侧的PA到SMD（包含FA）的地址转换</w:t>
      </w:r>
    </w:p>
    <w:p w14:paraId="5A3D2F45">
      <w:pPr>
        <w:pStyle w:val="48"/>
      </w:pPr>
      <w:r>
        <w:t>两级代换表结构</w:t>
      </w:r>
    </w:p>
    <w:p w14:paraId="784B482C">
      <w:pPr>
        <w:spacing w:after="0" w:line="360" w:lineRule="auto"/>
        <w:ind w:firstLine="560" w:firstLineChars="200"/>
        <w:jc w:val="both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SDecoder采用两级代换表结构，通过基地址</w:t>
      </w:r>
      <w:r>
        <w:rPr>
          <w:rFonts w:hint="eastAsia" w:ascii="Times New Roman" w:hAnsi="Times New Roman" w:eastAsia="宋体" w:cs="Times New Roman"/>
          <w:sz w:val="28"/>
          <w:szCs w:val="28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IO寄存器，软件可配置</w:t>
      </w:r>
      <w:r>
        <w:rPr>
          <w:rFonts w:hint="eastAsia" w:ascii="Times New Roman" w:hAnsi="Times New Roman" w:eastAsia="宋体" w:cs="Times New Roman"/>
          <w:sz w:val="28"/>
          <w:szCs w:val="28"/>
          <w:lang w:eastAsia="zh-CN"/>
        </w:rPr>
        <w:t>）</w:t>
      </w:r>
      <w:r>
        <w:rPr>
          <w:rFonts w:ascii="Times New Roman" w:hAnsi="Times New Roman" w:eastAsia="宋体" w:cs="Times New Roman"/>
          <w:sz w:val="28"/>
          <w:szCs w:val="28"/>
        </w:rPr>
        <w:t>和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PA</w:t>
      </w:r>
      <w:r>
        <w:rPr>
          <w:rFonts w:ascii="Times New Roman" w:hAnsi="Times New Roman" w:eastAsia="宋体" w:cs="Times New Roman"/>
          <w:sz w:val="28"/>
          <w:szCs w:val="28"/>
        </w:rPr>
        <w:t>地址逐级索引，最终获得代换表的表项。</w:t>
      </w:r>
    </w:p>
    <w:p w14:paraId="7B1CC594">
      <w:pPr>
        <w:spacing w:after="0" w:line="360" w:lineRule="auto"/>
        <w:ind w:firstLine="560" w:firstLineChars="200"/>
        <w:jc w:val="both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SDecoder一级表（L1 SDecoder Table，SDT_L1）本身的基地址（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SDT_L1_BASE</w:t>
      </w:r>
      <w:r>
        <w:rPr>
          <w:rFonts w:ascii="Times New Roman" w:hAnsi="Times New Roman" w:eastAsia="宋体" w:cs="Times New Roman"/>
          <w:sz w:val="28"/>
          <w:szCs w:val="28"/>
        </w:rPr>
        <w:t>[47:4]）需由软件填写，硬件在代换过程中使用。SDT_L1表共4096个条目（注：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PA</w:t>
      </w:r>
      <w:r>
        <w:rPr>
          <w:rFonts w:ascii="Times New Roman" w:hAnsi="Times New Roman" w:eastAsia="宋体" w:cs="Times New Roman"/>
          <w:sz w:val="28"/>
          <w:szCs w:val="28"/>
        </w:rPr>
        <w:t>[46:35]共12位，对应4K个条目；即128TB/32GB=4K个），每个条目长度设置为16B，因此SDT_L1表的存储开销为</w:t>
      </w:r>
      <w:r>
        <w:rPr>
          <w:rFonts w:ascii="Times New Roman" w:hAnsi="Times New Roman" w:eastAsia="宋体" w:cs="Times New Roman"/>
          <w:color w:val="EE0000"/>
          <w:sz w:val="28"/>
          <w:szCs w:val="28"/>
        </w:rPr>
        <w:t>64KB。</w:t>
      </w:r>
    </w:p>
    <w:p w14:paraId="19D4B9E0">
      <w:pPr>
        <w:spacing w:after="0" w:line="360" w:lineRule="auto"/>
        <w:ind w:firstLine="560" w:firstLineChars="200"/>
        <w:jc w:val="both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SDecoder二级表（L2 SDecoder Table，SDT_L2）本身的基地址（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SDT_</w:t>
      </w:r>
      <w:r>
        <w:rPr>
          <w:rFonts w:ascii="Times New Roman" w:hAnsi="Times New Roman" w:eastAsia="宋体" w:cs="Times New Roman"/>
          <w:sz w:val="28"/>
          <w:szCs w:val="28"/>
        </w:rPr>
        <w:t>L2_BASE[63:3]）可从一级表中获得。每个一级表条目所对应的SDT_L2表共32个条目（注：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PA</w:t>
      </w:r>
      <w:r>
        <w:rPr>
          <w:rFonts w:ascii="Times New Roman" w:hAnsi="Times New Roman" w:eastAsia="宋体" w:cs="Times New Roman"/>
          <w:sz w:val="28"/>
          <w:szCs w:val="28"/>
        </w:rPr>
        <w:t>[34:30]共5位，对应32个条目；即32GB/1GB=32个），每个条目长度设置为8B，因此每个一级表条目所对应的SDT_L2表的存储开销为</w:t>
      </w:r>
      <w:r>
        <w:rPr>
          <w:rFonts w:ascii="Times New Roman" w:hAnsi="Times New Roman" w:eastAsia="宋体" w:cs="Times New Roman"/>
          <w:color w:val="EE0000"/>
          <w:sz w:val="28"/>
          <w:szCs w:val="28"/>
        </w:rPr>
        <w:t>256B</w:t>
      </w:r>
      <w:r>
        <w:rPr>
          <w:rFonts w:ascii="Times New Roman" w:hAnsi="Times New Roman" w:eastAsia="宋体" w:cs="Times New Roman"/>
          <w:sz w:val="28"/>
          <w:szCs w:val="28"/>
        </w:rPr>
        <w:t>，所有SDT_L2表的存储开销共计为4K*256B=</w:t>
      </w:r>
      <w:r>
        <w:rPr>
          <w:rFonts w:ascii="Times New Roman" w:hAnsi="Times New Roman" w:eastAsia="宋体" w:cs="Times New Roman"/>
          <w:color w:val="EE0000"/>
          <w:sz w:val="28"/>
          <w:szCs w:val="28"/>
        </w:rPr>
        <w:t>1MB</w:t>
      </w:r>
      <w:r>
        <w:rPr>
          <w:rFonts w:ascii="Times New Roman" w:hAnsi="Times New Roman" w:eastAsia="宋体" w:cs="Times New Roman"/>
          <w:sz w:val="28"/>
          <w:szCs w:val="28"/>
        </w:rPr>
        <w:t>。</w:t>
      </w:r>
    </w:p>
    <w:p w14:paraId="10EB8AA3">
      <w:pPr>
        <w:spacing w:after="0" w:line="360" w:lineRule="auto"/>
        <w:jc w:val="center"/>
        <w:rPr>
          <w:rFonts w:ascii="Times New Roman" w:hAnsi="Times New Roman" w:eastAsia="宋体" w:cs="Times New Roman"/>
          <w:color w:val="EE0000"/>
          <w:sz w:val="24"/>
        </w:rPr>
      </w:pPr>
      <w:r>
        <w:rPr>
          <w:rFonts w:ascii="Times New Roman" w:hAnsi="Times New Roman" w:eastAsia="宋体" w:cs="Times New Roman"/>
          <w:color w:val="EE0000"/>
          <w:sz w:val="24"/>
        </w:rPr>
        <w:t>表</w:t>
      </w:r>
      <w:r>
        <w:rPr>
          <w:rFonts w:hint="eastAsia" w:ascii="Times New Roman" w:hAnsi="Times New Roman" w:eastAsia="宋体" w:cs="Times New Roman"/>
          <w:color w:val="EE0000"/>
          <w:sz w:val="24"/>
          <w:lang w:val="en-US" w:eastAsia="zh-CN"/>
        </w:rPr>
        <w:t>5-</w:t>
      </w:r>
      <w:r>
        <w:rPr>
          <w:rFonts w:ascii="Times New Roman" w:hAnsi="Times New Roman" w:eastAsia="宋体" w:cs="Times New Roman"/>
          <w:color w:val="EE0000"/>
          <w:sz w:val="24"/>
        </w:rPr>
        <w:t>1：SDecoder一级表（SDT_L1）条目内容</w:t>
      </w: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4"/>
        <w:gridCol w:w="1913"/>
        <w:gridCol w:w="3969"/>
      </w:tblGrid>
      <w:tr w14:paraId="1395F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4" w:type="dxa"/>
          </w:tcPr>
          <w:p w14:paraId="373254E6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域</w:t>
            </w:r>
            <w:r>
              <w:rPr>
                <w:rFonts w:ascii="Times New Roman" w:hAnsi="Times New Roman" w:eastAsia="宋体" w:cs="Times New Roman"/>
                <w:sz w:val="24"/>
              </w:rPr>
              <w:t>名</w:t>
            </w:r>
          </w:p>
        </w:tc>
        <w:tc>
          <w:tcPr>
            <w:tcW w:w="1913" w:type="dxa"/>
          </w:tcPr>
          <w:p w14:paraId="20EFD28C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范围（</w:t>
            </w:r>
            <w:r>
              <w:rPr>
                <w:rFonts w:ascii="Times New Roman" w:hAnsi="Times New Roman" w:eastAsia="宋体" w:cs="Times New Roman"/>
                <w:i/>
                <w:iCs/>
                <w:sz w:val="21"/>
                <w:szCs w:val="21"/>
              </w:rPr>
              <w:t>共102位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）</w:t>
            </w:r>
          </w:p>
        </w:tc>
        <w:tc>
          <w:tcPr>
            <w:tcW w:w="3969" w:type="dxa"/>
          </w:tcPr>
          <w:p w14:paraId="2B6D1A47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描述</w:t>
            </w:r>
          </w:p>
        </w:tc>
      </w:tr>
      <w:tr w14:paraId="55084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4" w:type="dxa"/>
          </w:tcPr>
          <w:p w14:paraId="7A7E66DD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L2_BASE[63:3]</w:t>
            </w:r>
          </w:p>
        </w:tc>
        <w:tc>
          <w:tcPr>
            <w:tcW w:w="1913" w:type="dxa"/>
          </w:tcPr>
          <w:p w14:paraId="5E3D3122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i/>
                <w:i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i/>
                <w:iCs/>
                <w:sz w:val="21"/>
                <w:szCs w:val="21"/>
                <w:highlight w:val="yellow"/>
              </w:rPr>
              <w:t>61位</w:t>
            </w:r>
          </w:p>
        </w:tc>
        <w:tc>
          <w:tcPr>
            <w:tcW w:w="3969" w:type="dxa"/>
          </w:tcPr>
          <w:p w14:paraId="6C92C123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二级表基地址</w:t>
            </w:r>
          </w:p>
        </w:tc>
      </w:tr>
      <w:tr w14:paraId="644FBC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4" w:type="dxa"/>
          </w:tcPr>
          <w:p w14:paraId="39E99881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EID[10:0]</w:t>
            </w:r>
          </w:p>
        </w:tc>
        <w:tc>
          <w:tcPr>
            <w:tcW w:w="1913" w:type="dxa"/>
          </w:tcPr>
          <w:p w14:paraId="518C64D4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i/>
                <w:i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i/>
                <w:iCs/>
                <w:sz w:val="21"/>
                <w:szCs w:val="21"/>
              </w:rPr>
              <w:t>11位</w:t>
            </w:r>
          </w:p>
        </w:tc>
        <w:tc>
          <w:tcPr>
            <w:tcW w:w="3969" w:type="dxa"/>
          </w:tcPr>
          <w:p w14:paraId="1204FC4C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Entity标识，消息路由使用</w:t>
            </w:r>
          </w:p>
        </w:tc>
      </w:tr>
      <w:tr w14:paraId="468BC6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4" w:type="dxa"/>
          </w:tcPr>
          <w:p w14:paraId="48224482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  <w:highlight w:val="none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  <w:highlight w:val="none"/>
              </w:rPr>
              <w:t>TokenID[9:0]</w:t>
            </w:r>
          </w:p>
        </w:tc>
        <w:tc>
          <w:tcPr>
            <w:tcW w:w="1913" w:type="dxa"/>
          </w:tcPr>
          <w:p w14:paraId="65AB07B7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i/>
                <w:iCs/>
                <w:sz w:val="21"/>
                <w:szCs w:val="21"/>
                <w:highlight w:val="none"/>
              </w:rPr>
            </w:pPr>
            <w:r>
              <w:rPr>
                <w:rFonts w:ascii="Times New Roman" w:hAnsi="Times New Roman" w:eastAsia="宋体" w:cs="Times New Roman"/>
                <w:i/>
                <w:iCs/>
                <w:sz w:val="21"/>
                <w:szCs w:val="21"/>
                <w:highlight w:val="yellow"/>
              </w:rPr>
              <w:t>10位？</w:t>
            </w:r>
          </w:p>
        </w:tc>
        <w:tc>
          <w:tcPr>
            <w:tcW w:w="3969" w:type="dxa"/>
          </w:tcPr>
          <w:p w14:paraId="6D53E52C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  <w:highlight w:val="none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  <w:highlight w:val="none"/>
              </w:rPr>
              <w:t>查找上下文使用</w:t>
            </w:r>
          </w:p>
        </w:tc>
      </w:tr>
      <w:tr w14:paraId="7C788B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4" w:type="dxa"/>
          </w:tcPr>
          <w:p w14:paraId="6210080B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S_PFN[47:30]</w:t>
            </w:r>
          </w:p>
        </w:tc>
        <w:tc>
          <w:tcPr>
            <w:tcW w:w="1913" w:type="dxa"/>
          </w:tcPr>
          <w:p w14:paraId="1C118B6E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i/>
                <w:i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i/>
                <w:iCs/>
                <w:sz w:val="21"/>
                <w:szCs w:val="21"/>
              </w:rPr>
              <w:t>18位</w:t>
            </w:r>
          </w:p>
        </w:tc>
        <w:tc>
          <w:tcPr>
            <w:tcW w:w="3969" w:type="dxa"/>
          </w:tcPr>
          <w:p w14:paraId="681EB0FB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UBA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基址（以1GB对界）</w:t>
            </w:r>
          </w:p>
        </w:tc>
      </w:tr>
      <w:tr w14:paraId="55D8F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4" w:type="dxa"/>
          </w:tcPr>
          <w:p w14:paraId="379E4318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SEG_LEN[34:30]</w:t>
            </w:r>
          </w:p>
        </w:tc>
        <w:tc>
          <w:tcPr>
            <w:tcW w:w="1913" w:type="dxa"/>
          </w:tcPr>
          <w:p w14:paraId="4D80CAC2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[11:7]</w:t>
            </w:r>
          </w:p>
        </w:tc>
        <w:tc>
          <w:tcPr>
            <w:tcW w:w="3969" w:type="dxa"/>
          </w:tcPr>
          <w:p w14:paraId="60EF428D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段长</w:t>
            </w:r>
          </w:p>
        </w:tc>
      </w:tr>
      <w:tr w14:paraId="3DC1F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4" w:type="dxa"/>
          </w:tcPr>
          <w:p w14:paraId="00CAE6A4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SEG_BASE[34:30]</w:t>
            </w:r>
          </w:p>
        </w:tc>
        <w:tc>
          <w:tcPr>
            <w:tcW w:w="1913" w:type="dxa"/>
          </w:tcPr>
          <w:p w14:paraId="02FEDB5A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[6:2]</w:t>
            </w:r>
          </w:p>
        </w:tc>
        <w:tc>
          <w:tcPr>
            <w:tcW w:w="3969" w:type="dxa"/>
          </w:tcPr>
          <w:p w14:paraId="0631C0E6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段的基地址（以1GB对界）</w:t>
            </w:r>
          </w:p>
        </w:tc>
      </w:tr>
      <w:tr w14:paraId="08733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4" w:type="dxa"/>
          </w:tcPr>
          <w:p w14:paraId="5A3CD4D7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trike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trike/>
                <w:sz w:val="21"/>
                <w:szCs w:val="21"/>
                <w:highlight w:val="yellow"/>
              </w:rPr>
              <w:t>FOW</w:t>
            </w:r>
          </w:p>
        </w:tc>
        <w:tc>
          <w:tcPr>
            <w:tcW w:w="1913" w:type="dxa"/>
          </w:tcPr>
          <w:p w14:paraId="6ABE2CB8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trike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trike/>
                <w:sz w:val="21"/>
                <w:szCs w:val="21"/>
                <w:highlight w:val="yellow"/>
              </w:rPr>
              <w:t>[3]</w:t>
            </w:r>
          </w:p>
        </w:tc>
        <w:tc>
          <w:tcPr>
            <w:tcW w:w="3969" w:type="dxa"/>
          </w:tcPr>
          <w:p w14:paraId="1CC68F46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trike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trike/>
                <w:sz w:val="21"/>
                <w:szCs w:val="21"/>
                <w:highlight w:val="yellow"/>
              </w:rPr>
              <w:t>写故障位，为1表示空间不可写</w:t>
            </w:r>
          </w:p>
        </w:tc>
      </w:tr>
      <w:tr w14:paraId="2E722B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4" w:type="dxa"/>
          </w:tcPr>
          <w:p w14:paraId="36C23835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trike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trike/>
                <w:sz w:val="21"/>
                <w:szCs w:val="21"/>
                <w:highlight w:val="yellow"/>
              </w:rPr>
              <w:t>FOR</w:t>
            </w:r>
          </w:p>
        </w:tc>
        <w:tc>
          <w:tcPr>
            <w:tcW w:w="1913" w:type="dxa"/>
          </w:tcPr>
          <w:p w14:paraId="53F322CB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trike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trike/>
                <w:sz w:val="21"/>
                <w:szCs w:val="21"/>
                <w:highlight w:val="yellow"/>
              </w:rPr>
              <w:t>[2]</w:t>
            </w:r>
          </w:p>
        </w:tc>
        <w:tc>
          <w:tcPr>
            <w:tcW w:w="3969" w:type="dxa"/>
          </w:tcPr>
          <w:p w14:paraId="318AA1E9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trike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trike/>
                <w:sz w:val="21"/>
                <w:szCs w:val="21"/>
                <w:highlight w:val="yellow"/>
              </w:rPr>
              <w:t>读故障位，为1表示空间不可读</w:t>
            </w:r>
          </w:p>
        </w:tc>
      </w:tr>
      <w:tr w14:paraId="0673F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4" w:type="dxa"/>
          </w:tcPr>
          <w:p w14:paraId="54E7CB0F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Type</w:t>
            </w:r>
          </w:p>
        </w:tc>
        <w:tc>
          <w:tcPr>
            <w:tcW w:w="1913" w:type="dxa"/>
          </w:tcPr>
          <w:p w14:paraId="5B65EE04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[1]</w:t>
            </w:r>
          </w:p>
        </w:tc>
        <w:tc>
          <w:tcPr>
            <w:tcW w:w="3969" w:type="dxa"/>
          </w:tcPr>
          <w:p w14:paraId="7068FB0C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类型位：为1表示该32G空间范围内有且仅有1个段表；为0表示该32G空间范围内均为页表</w:t>
            </w:r>
          </w:p>
        </w:tc>
      </w:tr>
      <w:tr w14:paraId="1FC144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4" w:type="dxa"/>
          </w:tcPr>
          <w:p w14:paraId="29951FED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Valid</w:t>
            </w:r>
          </w:p>
        </w:tc>
        <w:tc>
          <w:tcPr>
            <w:tcW w:w="1913" w:type="dxa"/>
          </w:tcPr>
          <w:p w14:paraId="58F681FD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[0]</w:t>
            </w:r>
          </w:p>
        </w:tc>
        <w:tc>
          <w:tcPr>
            <w:tcW w:w="3969" w:type="dxa"/>
          </w:tcPr>
          <w:p w14:paraId="03E5BE46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有效位</w:t>
            </w:r>
          </w:p>
        </w:tc>
      </w:tr>
    </w:tbl>
    <w:p w14:paraId="546C7C8B">
      <w:pPr>
        <w:spacing w:after="0" w:line="360" w:lineRule="auto"/>
        <w:jc w:val="center"/>
        <w:rPr>
          <w:rFonts w:ascii="Times New Roman" w:hAnsi="Times New Roman" w:eastAsia="宋体" w:cs="Times New Roman"/>
          <w:sz w:val="24"/>
        </w:rPr>
      </w:pPr>
    </w:p>
    <w:p w14:paraId="60F2CF3D">
      <w:pPr>
        <w:spacing w:after="0" w:line="360" w:lineRule="auto"/>
        <w:jc w:val="center"/>
        <w:rPr>
          <w:rFonts w:ascii="Times New Roman" w:hAnsi="Times New Roman" w:eastAsia="宋体" w:cs="Times New Roman"/>
          <w:color w:val="EE0000"/>
          <w:sz w:val="24"/>
        </w:rPr>
      </w:pPr>
      <w:r>
        <w:rPr>
          <w:rFonts w:ascii="Times New Roman" w:hAnsi="Times New Roman" w:eastAsia="宋体" w:cs="Times New Roman"/>
          <w:color w:val="EE0000"/>
          <w:sz w:val="24"/>
        </w:rPr>
        <w:t>表</w:t>
      </w:r>
      <w:r>
        <w:rPr>
          <w:rFonts w:hint="eastAsia" w:ascii="Times New Roman" w:hAnsi="Times New Roman" w:eastAsia="宋体" w:cs="Times New Roman"/>
          <w:color w:val="EE0000"/>
          <w:sz w:val="24"/>
          <w:lang w:val="en-US" w:eastAsia="zh-CN"/>
        </w:rPr>
        <w:t>5-</w:t>
      </w:r>
      <w:r>
        <w:rPr>
          <w:rFonts w:ascii="Times New Roman" w:hAnsi="Times New Roman" w:eastAsia="宋体" w:cs="Times New Roman"/>
          <w:color w:val="EE0000"/>
          <w:sz w:val="24"/>
        </w:rPr>
        <w:t>2：SDecoder二级表（SDT_L2）条目内容</w:t>
      </w: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5"/>
        <w:gridCol w:w="1903"/>
        <w:gridCol w:w="3978"/>
      </w:tblGrid>
      <w:tr w14:paraId="2E81C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5" w:type="dxa"/>
          </w:tcPr>
          <w:p w14:paraId="5E0542D5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域</w:t>
            </w:r>
          </w:p>
        </w:tc>
        <w:tc>
          <w:tcPr>
            <w:tcW w:w="1903" w:type="dxa"/>
          </w:tcPr>
          <w:p w14:paraId="0AE1BFE5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范围（</w:t>
            </w:r>
            <w:r>
              <w:rPr>
                <w:rFonts w:ascii="Times New Roman" w:hAnsi="Times New Roman" w:eastAsia="宋体" w:cs="Times New Roman"/>
                <w:i/>
                <w:iCs/>
                <w:sz w:val="21"/>
                <w:szCs w:val="21"/>
              </w:rPr>
              <w:t>共30位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）</w:t>
            </w:r>
          </w:p>
        </w:tc>
        <w:tc>
          <w:tcPr>
            <w:tcW w:w="3978" w:type="dxa"/>
          </w:tcPr>
          <w:p w14:paraId="118B77DB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描述</w:t>
            </w:r>
          </w:p>
        </w:tc>
      </w:tr>
      <w:tr w14:paraId="730EF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5" w:type="dxa"/>
          </w:tcPr>
          <w:p w14:paraId="42D08985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EID[10:0]</w:t>
            </w:r>
          </w:p>
        </w:tc>
        <w:tc>
          <w:tcPr>
            <w:tcW w:w="1903" w:type="dxa"/>
          </w:tcPr>
          <w:p w14:paraId="553885BD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i/>
                <w:iCs/>
                <w:sz w:val="21"/>
                <w:szCs w:val="21"/>
              </w:rPr>
              <w:t>11位</w:t>
            </w:r>
          </w:p>
        </w:tc>
        <w:tc>
          <w:tcPr>
            <w:tcW w:w="3978" w:type="dxa"/>
          </w:tcPr>
          <w:p w14:paraId="746F7601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Entity标识，消息路由使用</w:t>
            </w:r>
          </w:p>
        </w:tc>
      </w:tr>
      <w:tr w14:paraId="29406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5" w:type="dxa"/>
          </w:tcPr>
          <w:p w14:paraId="55FEE480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  <w:highlight w:val="none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  <w:highlight w:val="none"/>
              </w:rPr>
              <w:t>TokenID[9:0]</w:t>
            </w:r>
          </w:p>
        </w:tc>
        <w:tc>
          <w:tcPr>
            <w:tcW w:w="1903" w:type="dxa"/>
          </w:tcPr>
          <w:p w14:paraId="2E90DCA4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i/>
                <w:iCs/>
                <w:sz w:val="21"/>
                <w:szCs w:val="21"/>
                <w:highlight w:val="none"/>
              </w:rPr>
            </w:pPr>
            <w:r>
              <w:rPr>
                <w:rFonts w:ascii="Times New Roman" w:hAnsi="Times New Roman" w:eastAsia="宋体" w:cs="Times New Roman"/>
                <w:i/>
                <w:iCs/>
                <w:sz w:val="21"/>
                <w:szCs w:val="21"/>
                <w:highlight w:val="yellow"/>
              </w:rPr>
              <w:t>10位？</w:t>
            </w:r>
          </w:p>
        </w:tc>
        <w:tc>
          <w:tcPr>
            <w:tcW w:w="3978" w:type="dxa"/>
          </w:tcPr>
          <w:p w14:paraId="066D46C4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  <w:highlight w:val="none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  <w:highlight w:val="none"/>
              </w:rPr>
              <w:t>查找上下文使用</w:t>
            </w:r>
          </w:p>
        </w:tc>
      </w:tr>
      <w:tr w14:paraId="02AA0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5" w:type="dxa"/>
          </w:tcPr>
          <w:p w14:paraId="20043976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S_PFN[47:30]</w:t>
            </w:r>
          </w:p>
        </w:tc>
        <w:tc>
          <w:tcPr>
            <w:tcW w:w="1903" w:type="dxa"/>
          </w:tcPr>
          <w:p w14:paraId="5D1D1AA3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i/>
                <w:iCs/>
                <w:sz w:val="21"/>
                <w:szCs w:val="21"/>
              </w:rPr>
              <w:t>18位</w:t>
            </w:r>
          </w:p>
        </w:tc>
        <w:tc>
          <w:tcPr>
            <w:tcW w:w="3978" w:type="dxa"/>
          </w:tcPr>
          <w:p w14:paraId="4093D6F3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UBA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的基址（以1GB对界）</w:t>
            </w:r>
          </w:p>
        </w:tc>
      </w:tr>
      <w:tr w14:paraId="72B5C2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5" w:type="dxa"/>
          </w:tcPr>
          <w:p w14:paraId="1E65DB57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trike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trike/>
                <w:sz w:val="21"/>
                <w:szCs w:val="21"/>
                <w:highlight w:val="yellow"/>
              </w:rPr>
              <w:t>FOW</w:t>
            </w:r>
          </w:p>
        </w:tc>
        <w:tc>
          <w:tcPr>
            <w:tcW w:w="1903" w:type="dxa"/>
          </w:tcPr>
          <w:p w14:paraId="449C4ACF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i/>
                <w:iCs/>
                <w:strike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trike/>
                <w:sz w:val="21"/>
                <w:szCs w:val="21"/>
                <w:highlight w:val="yellow"/>
              </w:rPr>
              <w:t>[2]</w:t>
            </w:r>
          </w:p>
        </w:tc>
        <w:tc>
          <w:tcPr>
            <w:tcW w:w="3978" w:type="dxa"/>
          </w:tcPr>
          <w:p w14:paraId="3AEEB580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trike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trike/>
                <w:sz w:val="21"/>
                <w:szCs w:val="21"/>
                <w:highlight w:val="yellow"/>
              </w:rPr>
              <w:t>写故障位，为1表示空间不可写</w:t>
            </w:r>
          </w:p>
        </w:tc>
      </w:tr>
      <w:tr w14:paraId="2E2B73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5" w:type="dxa"/>
          </w:tcPr>
          <w:p w14:paraId="4ED4C0D0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trike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trike/>
                <w:sz w:val="21"/>
                <w:szCs w:val="21"/>
                <w:highlight w:val="yellow"/>
              </w:rPr>
              <w:t>FOR</w:t>
            </w:r>
          </w:p>
        </w:tc>
        <w:tc>
          <w:tcPr>
            <w:tcW w:w="1903" w:type="dxa"/>
          </w:tcPr>
          <w:p w14:paraId="52F5D2F6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i/>
                <w:iCs/>
                <w:strike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trike/>
                <w:sz w:val="21"/>
                <w:szCs w:val="21"/>
                <w:highlight w:val="yellow"/>
              </w:rPr>
              <w:t>[1]</w:t>
            </w:r>
          </w:p>
        </w:tc>
        <w:tc>
          <w:tcPr>
            <w:tcW w:w="3978" w:type="dxa"/>
          </w:tcPr>
          <w:p w14:paraId="3BAB1AAF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trike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trike/>
                <w:sz w:val="21"/>
                <w:szCs w:val="21"/>
                <w:highlight w:val="yellow"/>
              </w:rPr>
              <w:t>读故障位，为1表示空间不可读</w:t>
            </w:r>
          </w:p>
        </w:tc>
      </w:tr>
      <w:tr w14:paraId="525D4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5" w:type="dxa"/>
          </w:tcPr>
          <w:p w14:paraId="50A1393D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Valid</w:t>
            </w:r>
          </w:p>
        </w:tc>
        <w:tc>
          <w:tcPr>
            <w:tcW w:w="1903" w:type="dxa"/>
          </w:tcPr>
          <w:p w14:paraId="541DC9C7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[0]</w:t>
            </w:r>
          </w:p>
        </w:tc>
        <w:tc>
          <w:tcPr>
            <w:tcW w:w="3978" w:type="dxa"/>
          </w:tcPr>
          <w:p w14:paraId="15D2C85D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有效位</w:t>
            </w:r>
          </w:p>
        </w:tc>
      </w:tr>
    </w:tbl>
    <w:p w14:paraId="60A9F4AC">
      <w:pPr>
        <w:spacing w:after="0" w:line="360" w:lineRule="auto"/>
        <w:ind w:firstLine="560" w:firstLineChars="200"/>
        <w:jc w:val="both"/>
        <w:rPr>
          <w:rFonts w:ascii="Times New Roman" w:hAnsi="Times New Roman" w:eastAsia="宋体" w:cs="Times New Roman"/>
          <w:sz w:val="28"/>
          <w:szCs w:val="28"/>
        </w:rPr>
      </w:pPr>
    </w:p>
    <w:p w14:paraId="731C601E">
      <w:pPr>
        <w:pStyle w:val="48"/>
      </w:pPr>
      <w:r>
        <w:t>两级代换流程示意图</w:t>
      </w:r>
    </w:p>
    <w:p w14:paraId="22A065D9">
      <w:pPr>
        <w:spacing w:after="0" w:line="360" w:lineRule="auto"/>
        <w:ind w:firstLine="560" w:firstLineChars="200"/>
        <w:jc w:val="both"/>
        <w:rPr>
          <w:rFonts w:ascii="Times New Roman" w:hAnsi="Times New Roman" w:eastAsia="华文仿宋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SDecoder两级代换流程的示意图如下：</w:t>
      </w:r>
    </w:p>
    <w:p w14:paraId="7E6FEE8D">
      <w:pPr>
        <w:spacing w:line="360" w:lineRule="auto"/>
        <w:jc w:val="center"/>
        <w:rPr>
          <w:rFonts w:ascii="Times New Roman" w:hAnsi="Times New Roman" w:eastAsia="华文仿宋" w:cs="Times New Roman"/>
          <w:sz w:val="28"/>
          <w:szCs w:val="28"/>
        </w:rPr>
      </w:pPr>
      <w:r>
        <w:rPr>
          <w:rFonts w:ascii="Times New Roman" w:hAnsi="Times New Roman" w:eastAsia="华文仿宋" w:cs="Times New Roman"/>
          <w:sz w:val="28"/>
          <w:szCs w:val="28"/>
        </w:rPr>
        <w:drawing>
          <wp:inline distT="0" distB="0" distL="0" distR="0">
            <wp:extent cx="5274310" cy="3087370"/>
            <wp:effectExtent l="0" t="0" r="0" b="11430"/>
            <wp:docPr id="123" name="图片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图片 12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F8452">
      <w:pPr>
        <w:spacing w:after="0" w:line="360" w:lineRule="auto"/>
        <w:jc w:val="center"/>
        <w:rPr>
          <w:rFonts w:ascii="Times New Roman" w:hAnsi="Times New Roman" w:eastAsia="华文仿宋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4"/>
        </w:rPr>
        <w:t>图4：SDecoder两级代换流程示意图</w:t>
      </w:r>
    </w:p>
    <w:p w14:paraId="7F24033E">
      <w:pPr>
        <w:pStyle w:val="48"/>
      </w:pPr>
      <w:r>
        <w:t>一级代换表SDT_L1查询</w:t>
      </w:r>
    </w:p>
    <w:p w14:paraId="239D7057">
      <w:pPr>
        <w:spacing w:after="0" w:line="360" w:lineRule="auto"/>
        <w:ind w:firstLine="560" w:firstLineChars="200"/>
        <w:jc w:val="both"/>
        <w:rPr>
          <w:rFonts w:ascii="Times New Roman" w:hAnsi="Times New Roman" w:eastAsia="宋体" w:cs="Times New Roman"/>
          <w:color w:val="auto"/>
          <w:sz w:val="28"/>
          <w:szCs w:val="28"/>
        </w:rPr>
      </w:pPr>
      <w:r>
        <w:rPr>
          <w:rFonts w:ascii="Times New Roman" w:hAnsi="Times New Roman" w:eastAsia="宋体" w:cs="Times New Roman"/>
          <w:color w:val="auto"/>
          <w:sz w:val="28"/>
          <w:szCs w:val="28"/>
        </w:rPr>
        <w:t>进行PA→SMD的地址转换时，首先查询SDecoder一级表SDT_L1，判断是否为段式代换。如果该32G空间范围内存在段式代换、且该PA落在所对应的段地址范围内，则完成代换；否则，需要继续查询SDecoder二级表SDT_L2。</w:t>
      </w:r>
    </w:p>
    <w:p w14:paraId="69EB752C">
      <w:pPr>
        <w:spacing w:after="0" w:line="360" w:lineRule="auto"/>
        <w:ind w:firstLine="560" w:firstLineChars="200"/>
        <w:jc w:val="both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SDT_L1条目中主要存储段基址SEG_Base[34:30]（段必须按照1GB对界）、段长度SEG_LEN[34:30]（以1GB为单位，不超过32GB）、网络地址的基址S_PFN[47:30]，代换过程如下：</w:t>
      </w:r>
    </w:p>
    <w:p w14:paraId="08FB0256">
      <w:pPr>
        <w:numPr>
          <w:ilvl w:val="0"/>
          <w:numId w:val="3"/>
        </w:numPr>
        <w:tabs>
          <w:tab w:val="left" w:pos="420"/>
          <w:tab w:val="clear" w:pos="840"/>
        </w:tabs>
        <w:spacing w:after="0" w:line="360" w:lineRule="auto"/>
        <w:jc w:val="both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以PA[47:35]为索引访问SDT_L1代换表，读取对应条目；</w:t>
      </w:r>
    </w:p>
    <w:p w14:paraId="20955F8E">
      <w:pPr>
        <w:numPr>
          <w:ilvl w:val="0"/>
          <w:numId w:val="3"/>
        </w:numPr>
        <w:tabs>
          <w:tab w:val="left" w:pos="420"/>
          <w:tab w:val="clear" w:pos="840"/>
        </w:tabs>
        <w:spacing w:after="0" w:line="360" w:lineRule="auto"/>
        <w:jc w:val="both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读条目内容（SEG_Base[34:30]/SEG_LEN[34:30]）；</w:t>
      </w:r>
    </w:p>
    <w:p w14:paraId="1D7F9AE9">
      <w:pPr>
        <w:numPr>
          <w:ilvl w:val="0"/>
          <w:numId w:val="3"/>
        </w:numPr>
        <w:tabs>
          <w:tab w:val="left" w:pos="420"/>
          <w:tab w:val="clear" w:pos="840"/>
        </w:tabs>
        <w:spacing w:after="0" w:line="360" w:lineRule="auto"/>
        <w:jc w:val="both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判断PA是否落入段表范围内。方式如下：</w:t>
      </w:r>
    </w:p>
    <w:p w14:paraId="4366ABB2">
      <w:pPr>
        <w:numPr>
          <w:ilvl w:val="0"/>
          <w:numId w:val="4"/>
        </w:numPr>
        <w:tabs>
          <w:tab w:val="left" w:pos="420"/>
        </w:tabs>
        <w:spacing w:after="0" w:line="360" w:lineRule="auto"/>
        <w:ind w:left="1680" w:hanging="420"/>
        <w:jc w:val="both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计算偏移：PA_Offset[34:30] = PA[34:30] – SEG_BASE[34:30]；</w:t>
      </w:r>
    </w:p>
    <w:p w14:paraId="54D59757">
      <w:pPr>
        <w:numPr>
          <w:ilvl w:val="0"/>
          <w:numId w:val="4"/>
        </w:numPr>
        <w:tabs>
          <w:tab w:val="left" w:pos="420"/>
        </w:tabs>
        <w:spacing w:after="0" w:line="360" w:lineRule="auto"/>
        <w:ind w:left="1680" w:hanging="420"/>
        <w:jc w:val="both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如果PA_Offset是正数，且PA_Offset小于SEG_LEN，则说明可以按照段式代换，跳至步骤d。</w:t>
      </w:r>
      <w:r>
        <w:rPr>
          <w:rFonts w:ascii="Times New Roman" w:hAnsi="Times New Roman" w:eastAsia="宋体" w:cs="Times New Roman"/>
          <w:color w:val="auto"/>
          <w:sz w:val="28"/>
          <w:szCs w:val="28"/>
        </w:rPr>
        <w:t>否则，按照页式代换，跳转至查询SDecoder第二级代换表SDT_L2。</w:t>
      </w:r>
    </w:p>
    <w:p w14:paraId="211BCFFB">
      <w:pPr>
        <w:numPr>
          <w:ilvl w:val="0"/>
          <w:numId w:val="3"/>
        </w:numPr>
        <w:tabs>
          <w:tab w:val="left" w:pos="420"/>
          <w:tab w:val="clear" w:pos="840"/>
        </w:tabs>
        <w:spacing w:after="0" w:line="360" w:lineRule="auto"/>
        <w:jc w:val="both"/>
        <w:rPr>
          <w:rFonts w:ascii="Times New Roman" w:hAnsi="Times New Roman" w:eastAsia="宋体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宋体" w:cs="Times New Roman"/>
          <w:b/>
          <w:bCs/>
          <w:sz w:val="28"/>
          <w:szCs w:val="28"/>
          <w:highlight w:val="none"/>
        </w:rPr>
        <w:t>段式代换得到网络地址</w:t>
      </w:r>
      <w:r>
        <w:rPr>
          <w:rFonts w:hint="eastAsia" w:ascii="Times New Roman" w:hAnsi="Times New Roman" w:eastAsia="宋体" w:cs="Times New Roman"/>
          <w:b/>
          <w:bCs/>
          <w:sz w:val="28"/>
          <w:szCs w:val="28"/>
          <w:highlight w:val="none"/>
          <w:lang w:val="en-US" w:eastAsia="zh-CN"/>
        </w:rPr>
        <w:t>UBA</w:t>
      </w:r>
      <w:r>
        <w:rPr>
          <w:rFonts w:ascii="Times New Roman" w:hAnsi="Times New Roman" w:eastAsia="宋体" w:cs="Times New Roman"/>
          <w:b/>
          <w:bCs/>
          <w:sz w:val="28"/>
          <w:szCs w:val="28"/>
          <w:highlight w:val="none"/>
        </w:rPr>
        <w:t>的基址，为：</w:t>
      </w:r>
    </w:p>
    <w:p w14:paraId="43068ED3">
      <w:pPr>
        <w:tabs>
          <w:tab w:val="left" w:pos="420"/>
        </w:tabs>
        <w:spacing w:after="0" w:line="360" w:lineRule="auto"/>
        <w:ind w:left="1265"/>
        <w:jc w:val="both"/>
        <w:rPr>
          <w:rFonts w:ascii="Times New Roman" w:hAnsi="Times New Roman" w:eastAsia="宋体" w:cs="Times New Roman"/>
          <w:b/>
          <w:bCs/>
          <w:sz w:val="28"/>
          <w:szCs w:val="28"/>
          <w:highlight w:val="none"/>
        </w:rPr>
      </w:pPr>
      <w:r>
        <w:rPr>
          <w:rFonts w:hint="eastAsia" w:ascii="Times New Roman" w:hAnsi="Times New Roman" w:eastAsia="宋体" w:cs="Times New Roman"/>
          <w:b/>
          <w:bCs/>
          <w:sz w:val="28"/>
          <w:szCs w:val="28"/>
          <w:highlight w:val="none"/>
          <w:lang w:val="en-US" w:eastAsia="zh-CN"/>
        </w:rPr>
        <w:t>UB</w:t>
      </w:r>
      <w:r>
        <w:rPr>
          <w:rFonts w:ascii="Times New Roman" w:hAnsi="Times New Roman" w:eastAsia="宋体" w:cs="Times New Roman"/>
          <w:b/>
          <w:bCs/>
          <w:sz w:val="28"/>
          <w:szCs w:val="28"/>
          <w:highlight w:val="none"/>
        </w:rPr>
        <w:t>A[47:30]={S_PFN[47:30] + {13’h0, PA_Offset[34:30]} },</w:t>
      </w:r>
    </w:p>
    <w:p w14:paraId="6DA208CB">
      <w:pPr>
        <w:tabs>
          <w:tab w:val="left" w:pos="420"/>
        </w:tabs>
        <w:spacing w:after="0" w:line="360" w:lineRule="auto"/>
        <w:ind w:left="1265"/>
        <w:jc w:val="both"/>
        <w:rPr>
          <w:rFonts w:ascii="Times New Roman" w:hAnsi="Times New Roman" w:eastAsia="宋体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宋体" w:cs="Times New Roman"/>
          <w:b/>
          <w:bCs/>
          <w:sz w:val="28"/>
          <w:szCs w:val="28"/>
          <w:highlight w:val="none"/>
        </w:rPr>
        <w:t>拼上页内偏移后，获得最终</w:t>
      </w:r>
      <w:r>
        <w:rPr>
          <w:rFonts w:hint="eastAsia" w:ascii="Times New Roman" w:hAnsi="Times New Roman" w:eastAsia="宋体" w:cs="Times New Roman"/>
          <w:b/>
          <w:bCs/>
          <w:sz w:val="28"/>
          <w:szCs w:val="28"/>
          <w:highlight w:val="none"/>
          <w:lang w:val="en-US" w:eastAsia="zh-CN"/>
        </w:rPr>
        <w:t>UBA</w:t>
      </w:r>
      <w:r>
        <w:rPr>
          <w:rFonts w:ascii="Times New Roman" w:hAnsi="Times New Roman" w:eastAsia="宋体" w:cs="Times New Roman"/>
          <w:b/>
          <w:bCs/>
          <w:sz w:val="28"/>
          <w:szCs w:val="28"/>
          <w:highlight w:val="none"/>
        </w:rPr>
        <w:t>为：</w:t>
      </w:r>
    </w:p>
    <w:p w14:paraId="7C385345">
      <w:pPr>
        <w:tabs>
          <w:tab w:val="left" w:pos="420"/>
        </w:tabs>
        <w:spacing w:after="0" w:line="360" w:lineRule="auto"/>
        <w:ind w:left="1265"/>
        <w:jc w:val="both"/>
        <w:rPr>
          <w:rFonts w:ascii="Times New Roman" w:hAnsi="Times New Roman" w:eastAsia="宋体" w:cs="Times New Roman"/>
          <w:sz w:val="28"/>
          <w:szCs w:val="28"/>
          <w:highlight w:val="none"/>
        </w:rPr>
      </w:pPr>
      <w:r>
        <w:rPr>
          <w:rFonts w:hint="eastAsia" w:ascii="Times New Roman" w:hAnsi="Times New Roman" w:eastAsia="宋体" w:cs="Times New Roman"/>
          <w:b/>
          <w:bCs/>
          <w:sz w:val="28"/>
          <w:szCs w:val="28"/>
          <w:highlight w:val="none"/>
          <w:lang w:val="en-US" w:eastAsia="zh-CN"/>
        </w:rPr>
        <w:t>UB</w:t>
      </w:r>
      <w:r>
        <w:rPr>
          <w:rFonts w:ascii="Times New Roman" w:hAnsi="Times New Roman" w:eastAsia="宋体" w:cs="Times New Roman"/>
          <w:b/>
          <w:bCs/>
          <w:sz w:val="28"/>
          <w:szCs w:val="28"/>
          <w:highlight w:val="none"/>
        </w:rPr>
        <w:t>A[47:0]={ {S_PFN[47:30] + {13’h0, PA_Offset[34:30]} }, PA[29:0] }</w:t>
      </w:r>
    </w:p>
    <w:p w14:paraId="17DF8444">
      <w:pPr>
        <w:pStyle w:val="48"/>
      </w:pPr>
      <w:r>
        <w:t>二级代换表SDT_L2查询</w:t>
      </w:r>
    </w:p>
    <w:p w14:paraId="74E1E477">
      <w:pPr>
        <w:spacing w:after="0" w:line="360" w:lineRule="auto"/>
        <w:ind w:firstLine="560" w:firstLineChars="200"/>
        <w:jc w:val="both"/>
        <w:rPr>
          <w:rFonts w:ascii="Times New Roman" w:hAnsi="Times New Roman" w:eastAsia="宋体" w:cs="Times New Roman"/>
          <w:color w:val="auto"/>
          <w:sz w:val="28"/>
          <w:szCs w:val="28"/>
        </w:rPr>
      </w:pPr>
      <w:r>
        <w:rPr>
          <w:rFonts w:ascii="Times New Roman" w:hAnsi="Times New Roman" w:eastAsia="宋体" w:cs="Times New Roman"/>
          <w:color w:val="auto"/>
          <w:sz w:val="28"/>
          <w:szCs w:val="28"/>
        </w:rPr>
        <w:t>如果该32G空间范围内不存在段式代换，或该PA未落在所对应的段地址范围内，需要继续查询SDecoder二级表SDT_L2，进行页式代换。</w:t>
      </w:r>
    </w:p>
    <w:p w14:paraId="1906992D">
      <w:pPr>
        <w:spacing w:after="0" w:line="360" w:lineRule="auto"/>
        <w:ind w:firstLine="560" w:firstLineChars="200"/>
        <w:jc w:val="both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采用页式代换时，SDT_L1代换表条目中存储二级表SDT_L2的基址，代换过程如下：</w:t>
      </w:r>
    </w:p>
    <w:p w14:paraId="2D2F1536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如前所述，以U_PA[47:35]为索引访问一级表SDT_L1条目，得到二级表基地址L2_BASE[63:3]；</w:t>
      </w:r>
    </w:p>
    <w:p w14:paraId="024D857F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以U_PA[34:30]为索引访问二级表SDT_L2条目；</w:t>
      </w:r>
    </w:p>
    <w:p w14:paraId="73071A8C">
      <w:pPr>
        <w:numPr>
          <w:ilvl w:val="0"/>
          <w:numId w:val="6"/>
        </w:numPr>
        <w:spacing w:after="0" w:line="360" w:lineRule="auto"/>
        <w:ind w:left="1260" w:hanging="420"/>
        <w:jc w:val="both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从命中条目中读出网络地址FA的基址S_PFN[47:30]；</w:t>
      </w:r>
    </w:p>
    <w:p w14:paraId="72925CA7">
      <w:pPr>
        <w:numPr>
          <w:ilvl w:val="0"/>
          <w:numId w:val="6"/>
        </w:numPr>
        <w:spacing w:after="0" w:line="360" w:lineRule="auto"/>
        <w:ind w:left="1260" w:hanging="420"/>
        <w:jc w:val="both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拼上页内偏移后，获得最终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UBA</w:t>
      </w:r>
      <w:r>
        <w:rPr>
          <w:rFonts w:ascii="Times New Roman" w:hAnsi="Times New Roman" w:eastAsia="宋体" w:cs="Times New Roman"/>
          <w:sz w:val="28"/>
          <w:szCs w:val="28"/>
        </w:rPr>
        <w:t>为：</w:t>
      </w:r>
    </w:p>
    <w:p w14:paraId="73F963E2">
      <w:pPr>
        <w:tabs>
          <w:tab w:val="left" w:pos="420"/>
        </w:tabs>
        <w:spacing w:after="0" w:line="360" w:lineRule="auto"/>
        <w:ind w:left="1265"/>
        <w:jc w:val="both"/>
        <w:rPr>
          <w:rFonts w:ascii="Times New Roman" w:hAnsi="Times New Roman" w:eastAsia="华文仿宋" w:cs="Times New Roman"/>
          <w:sz w:val="28"/>
          <w:szCs w:val="28"/>
          <w:highlight w:val="none"/>
        </w:rPr>
      </w:pPr>
      <w:r>
        <w:rPr>
          <w:rFonts w:hint="eastAsia" w:ascii="Times New Roman" w:hAnsi="Times New Roman" w:eastAsia="宋体" w:cs="Times New Roman"/>
          <w:b/>
          <w:bCs/>
          <w:sz w:val="28"/>
          <w:szCs w:val="28"/>
          <w:highlight w:val="none"/>
          <w:lang w:val="en-US" w:eastAsia="zh-CN"/>
        </w:rPr>
        <w:t>UBA</w:t>
      </w:r>
      <w:r>
        <w:rPr>
          <w:rFonts w:ascii="Times New Roman" w:hAnsi="Times New Roman" w:eastAsia="宋体" w:cs="Times New Roman"/>
          <w:b/>
          <w:bCs/>
          <w:sz w:val="28"/>
          <w:szCs w:val="28"/>
          <w:highlight w:val="none"/>
        </w:rPr>
        <w:t>[47:0]={ S_PFN[47:30], PA[29:0] }</w:t>
      </w:r>
    </w:p>
    <w:p w14:paraId="4179C0A0">
      <w:pPr>
        <w:pStyle w:val="48"/>
      </w:pPr>
      <w:r>
        <w:t>SDecoder代换快表（SDTLB）</w:t>
      </w:r>
    </w:p>
    <w:p w14:paraId="4BF89C01">
      <w:pPr>
        <w:spacing w:after="0" w:line="360" w:lineRule="auto"/>
        <w:ind w:firstLine="560" w:firstLineChars="200"/>
        <w:jc w:val="both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SDecoder代换快表（SDTLB）可采用多种实现方式。</w:t>
      </w:r>
    </w:p>
    <w:p w14:paraId="0D119C39">
      <w:pPr>
        <w:spacing w:after="0" w:line="360" w:lineRule="auto"/>
        <w:ind w:firstLine="560" w:firstLineChars="200"/>
        <w:jc w:val="both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第一种方式是利用两张快表，分别存储段式和页式代换关系。</w:t>
      </w:r>
    </w:p>
    <w:p w14:paraId="5923828E">
      <w:pPr>
        <w:spacing w:after="0" w:line="360" w:lineRule="auto"/>
        <w:ind w:firstLine="560" w:firstLineChars="200"/>
        <w:jc w:val="both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第二种方式是只用一张快表，在其中融合段式和页式代换关系。</w:t>
      </w:r>
    </w:p>
    <w:p w14:paraId="5D5F1C19">
      <w:pPr>
        <w:spacing w:after="0" w:line="360" w:lineRule="auto"/>
        <w:ind w:firstLine="560" w:firstLineChars="200"/>
        <w:jc w:val="both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第三种方式是按照段式代换关系进行实现（将页当做特殊段）。</w:t>
      </w:r>
    </w:p>
    <w:p w14:paraId="22F74B16">
      <w:pPr>
        <w:spacing w:after="0" w:line="360" w:lineRule="auto"/>
        <w:ind w:firstLine="560" w:firstLineChars="200"/>
        <w:jc w:val="both"/>
        <w:rPr>
          <w:rFonts w:ascii="Times New Roman" w:hAnsi="Times New Roman" w:eastAsia="宋体" w:cs="Times New Roman"/>
          <w:i/>
          <w:iCs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第四种方式是按照页式代换关系进行实现（将段拆分为多个页）。</w:t>
      </w:r>
    </w:p>
    <w:p w14:paraId="5100B177">
      <w:pPr>
        <w:spacing w:after="0" w:line="360" w:lineRule="auto"/>
        <w:ind w:firstLine="560" w:firstLineChars="200"/>
        <w:jc w:val="both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经过初步评估，优先采用第三种方式，完全按照段式的代换关系进行实现。</w:t>
      </w:r>
    </w:p>
    <w:p w14:paraId="22A4FA33">
      <w:pPr>
        <w:spacing w:after="0" w:line="360" w:lineRule="auto"/>
        <w:ind w:firstLine="560" w:firstLineChars="200"/>
        <w:jc w:val="both"/>
        <w:rPr>
          <w:rFonts w:ascii="Times New Roman" w:hAnsi="Times New Roman" w:eastAsia="华文仿宋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硬件设置SDecoder的代换快表（SDecoder TLB，SDTLB）缓存结构，存储PA→SMD的映射关系。SDTLB采用全相联的组织结构，共设置128个条目（可覆盖128GB至4TB容量范围）。</w:t>
      </w:r>
    </w:p>
    <w:p w14:paraId="2E1F3372">
      <w:pPr>
        <w:spacing w:after="0" w:line="360" w:lineRule="auto"/>
        <w:jc w:val="center"/>
        <w:rPr>
          <w:rFonts w:ascii="Times New Roman" w:hAnsi="Times New Roman" w:eastAsia="宋体" w:cs="Times New Roman"/>
          <w:color w:val="EE0000"/>
          <w:sz w:val="24"/>
        </w:rPr>
      </w:pPr>
      <w:r>
        <w:rPr>
          <w:rFonts w:ascii="Times New Roman" w:hAnsi="Times New Roman" w:eastAsia="宋体" w:cs="Times New Roman"/>
          <w:color w:val="EE0000"/>
          <w:sz w:val="24"/>
        </w:rPr>
        <w:t>表</w:t>
      </w:r>
      <w:r>
        <w:rPr>
          <w:rFonts w:hint="eastAsia" w:ascii="Times New Roman" w:hAnsi="Times New Roman" w:eastAsia="宋体" w:cs="Times New Roman"/>
          <w:color w:val="EE0000"/>
          <w:sz w:val="24"/>
          <w:lang w:val="en-US" w:eastAsia="zh-CN"/>
        </w:rPr>
        <w:t>5-</w:t>
      </w:r>
      <w:r>
        <w:rPr>
          <w:rFonts w:ascii="Times New Roman" w:hAnsi="Times New Roman" w:eastAsia="宋体" w:cs="Times New Roman"/>
          <w:color w:val="EE0000"/>
          <w:sz w:val="24"/>
        </w:rPr>
        <w:t>3：SDecoder代换快表（SDTLB）结构</w:t>
      </w: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1"/>
        <w:gridCol w:w="2008"/>
        <w:gridCol w:w="1722"/>
        <w:gridCol w:w="3301"/>
      </w:tblGrid>
      <w:tr w14:paraId="6D78E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9" w:type="dxa"/>
            <w:gridSpan w:val="2"/>
          </w:tcPr>
          <w:p w14:paraId="7E0569BD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域名</w:t>
            </w:r>
          </w:p>
        </w:tc>
        <w:tc>
          <w:tcPr>
            <w:tcW w:w="1722" w:type="dxa"/>
          </w:tcPr>
          <w:p w14:paraId="30B662E2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范围（共54位）</w:t>
            </w:r>
          </w:p>
        </w:tc>
        <w:tc>
          <w:tcPr>
            <w:tcW w:w="3301" w:type="dxa"/>
          </w:tcPr>
          <w:p w14:paraId="5FFC4F3E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含义描述</w:t>
            </w:r>
          </w:p>
        </w:tc>
      </w:tr>
      <w:tr w14:paraId="20D8C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1" w:type="dxa"/>
            <w:vMerge w:val="restart"/>
          </w:tcPr>
          <w:p w14:paraId="5157EC08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Tag</w:t>
            </w:r>
          </w:p>
        </w:tc>
        <w:tc>
          <w:tcPr>
            <w:tcW w:w="2008" w:type="dxa"/>
          </w:tcPr>
          <w:p w14:paraId="3506D615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PA_Base[47:30]</w:t>
            </w:r>
          </w:p>
        </w:tc>
        <w:tc>
          <w:tcPr>
            <w:tcW w:w="1722" w:type="dxa"/>
          </w:tcPr>
          <w:p w14:paraId="624FC209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[23:6]</w:t>
            </w:r>
          </w:p>
        </w:tc>
        <w:tc>
          <w:tcPr>
            <w:tcW w:w="3301" w:type="dxa"/>
          </w:tcPr>
          <w:p w14:paraId="28D3CE61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段空间基址（1GB地址边界）</w:t>
            </w:r>
          </w:p>
          <w:p w14:paraId="60A1236C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PA落在PA_Base和PA_Up所表示的范围内，则认为命中</w:t>
            </w:r>
          </w:p>
        </w:tc>
      </w:tr>
      <w:tr w14:paraId="3EEEAE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1" w:type="dxa"/>
            <w:vMerge w:val="continue"/>
          </w:tcPr>
          <w:p w14:paraId="37FC972D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2008" w:type="dxa"/>
          </w:tcPr>
          <w:p w14:paraId="70406E63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PA_Up[34:30]</w:t>
            </w:r>
          </w:p>
        </w:tc>
        <w:tc>
          <w:tcPr>
            <w:tcW w:w="1722" w:type="dxa"/>
          </w:tcPr>
          <w:p w14:paraId="72D7D262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[5:1]</w:t>
            </w:r>
          </w:p>
        </w:tc>
        <w:tc>
          <w:tcPr>
            <w:tcW w:w="3301" w:type="dxa"/>
          </w:tcPr>
          <w:p w14:paraId="5CAEF4B5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段空间上限（1GB地址边界）</w:t>
            </w:r>
          </w:p>
          <w:p w14:paraId="5464CBDA">
            <w:pPr>
              <w:spacing w:line="360" w:lineRule="auto"/>
              <w:jc w:val="both"/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  <w:highlight w:val="yellow"/>
              </w:rPr>
              <w:t>对于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highlight w:val="yellow"/>
                <w:lang w:val="en-US" w:eastAsia="zh-CN"/>
              </w:rPr>
              <w:t>1GB的</w:t>
            </w:r>
            <w:r>
              <w:rPr>
                <w:rFonts w:ascii="Times New Roman" w:hAnsi="Times New Roman" w:eastAsia="宋体" w:cs="Times New Roman"/>
                <w:sz w:val="21"/>
                <w:szCs w:val="21"/>
                <w:highlight w:val="yellow"/>
              </w:rPr>
              <w:t>页式代换，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highlight w:val="yellow"/>
                <w:lang w:val="en-US" w:eastAsia="zh-CN"/>
              </w:rPr>
              <w:t>该条目的</w:t>
            </w:r>
            <w:r>
              <w:rPr>
                <w:rFonts w:ascii="Times New Roman" w:hAnsi="Times New Roman" w:eastAsia="宋体" w:cs="Times New Roman"/>
                <w:sz w:val="21"/>
                <w:szCs w:val="21"/>
                <w:highlight w:val="yellow"/>
              </w:rPr>
              <w:t>PA_Base[34:30]与PA_Up[34:30]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highlight w:val="yellow"/>
                <w:lang w:val="en-US" w:eastAsia="zh-CN"/>
              </w:rPr>
              <w:t>相等</w:t>
            </w:r>
            <w:r>
              <w:rPr>
                <w:rFonts w:ascii="Times New Roman" w:hAnsi="Times New Roman" w:eastAsia="宋体" w:cs="Times New Roman"/>
                <w:sz w:val="21"/>
                <w:szCs w:val="21"/>
                <w:highlight w:val="yellow"/>
              </w:rPr>
              <w:t>。</w:t>
            </w:r>
          </w:p>
        </w:tc>
      </w:tr>
      <w:tr w14:paraId="6ACA0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1" w:type="dxa"/>
            <w:vMerge w:val="continue"/>
          </w:tcPr>
          <w:p w14:paraId="65A484EB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2008" w:type="dxa"/>
          </w:tcPr>
          <w:p w14:paraId="738C28B9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Valid</w:t>
            </w:r>
          </w:p>
        </w:tc>
        <w:tc>
          <w:tcPr>
            <w:tcW w:w="1722" w:type="dxa"/>
          </w:tcPr>
          <w:p w14:paraId="63033CFD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[0]</w:t>
            </w:r>
          </w:p>
        </w:tc>
        <w:tc>
          <w:tcPr>
            <w:tcW w:w="3301" w:type="dxa"/>
          </w:tcPr>
          <w:p w14:paraId="0E479273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有效位</w:t>
            </w:r>
          </w:p>
        </w:tc>
      </w:tr>
      <w:tr w14:paraId="36936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1" w:type="dxa"/>
            <w:vMerge w:val="restart"/>
          </w:tcPr>
          <w:p w14:paraId="634C0EB0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Data</w:t>
            </w:r>
          </w:p>
        </w:tc>
        <w:tc>
          <w:tcPr>
            <w:tcW w:w="2008" w:type="dxa"/>
          </w:tcPr>
          <w:p w14:paraId="77DC51B9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EID[10:0]</w:t>
            </w:r>
          </w:p>
        </w:tc>
        <w:tc>
          <w:tcPr>
            <w:tcW w:w="1722" w:type="dxa"/>
          </w:tcPr>
          <w:p w14:paraId="5A38139A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[29:19]</w:t>
            </w:r>
          </w:p>
        </w:tc>
        <w:tc>
          <w:tcPr>
            <w:tcW w:w="3301" w:type="dxa"/>
          </w:tcPr>
          <w:p w14:paraId="3454DC47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Entity标识，消息路由使用</w:t>
            </w:r>
          </w:p>
        </w:tc>
      </w:tr>
      <w:tr w14:paraId="2090B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1" w:type="dxa"/>
            <w:vMerge w:val="continue"/>
          </w:tcPr>
          <w:p w14:paraId="3C1E4C6F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2008" w:type="dxa"/>
          </w:tcPr>
          <w:p w14:paraId="716701C2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  <w:highlight w:val="none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  <w:highlight w:val="none"/>
              </w:rPr>
              <w:t>TokenID[9:0]</w:t>
            </w:r>
          </w:p>
        </w:tc>
        <w:tc>
          <w:tcPr>
            <w:tcW w:w="1722" w:type="dxa"/>
          </w:tcPr>
          <w:p w14:paraId="17BB5B9A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  <w:highlight w:val="none"/>
              </w:rPr>
            </w:pPr>
            <w:r>
              <w:rPr>
                <w:rFonts w:ascii="Times New Roman" w:hAnsi="Times New Roman" w:eastAsia="宋体" w:cs="Times New Roman"/>
                <w:i/>
                <w:iCs/>
                <w:sz w:val="21"/>
                <w:szCs w:val="21"/>
                <w:highlight w:val="yellow"/>
              </w:rPr>
              <w:t>10位？</w:t>
            </w:r>
          </w:p>
        </w:tc>
        <w:tc>
          <w:tcPr>
            <w:tcW w:w="3301" w:type="dxa"/>
          </w:tcPr>
          <w:p w14:paraId="09B5DA9F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  <w:highlight w:val="none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  <w:highlight w:val="none"/>
              </w:rPr>
              <w:t>查找上下文使用</w:t>
            </w:r>
          </w:p>
        </w:tc>
      </w:tr>
      <w:tr w14:paraId="01872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1" w:type="dxa"/>
            <w:vMerge w:val="continue"/>
          </w:tcPr>
          <w:p w14:paraId="500060C2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  <w:highlight w:val="yellow"/>
              </w:rPr>
            </w:pPr>
          </w:p>
        </w:tc>
        <w:tc>
          <w:tcPr>
            <w:tcW w:w="2008" w:type="dxa"/>
          </w:tcPr>
          <w:p w14:paraId="398CBFCE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  <w:highlight w:val="yellow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S_PFN[47:30]</w:t>
            </w:r>
          </w:p>
        </w:tc>
        <w:tc>
          <w:tcPr>
            <w:tcW w:w="1722" w:type="dxa"/>
          </w:tcPr>
          <w:p w14:paraId="67A706B1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[18:1]</w:t>
            </w:r>
          </w:p>
        </w:tc>
        <w:tc>
          <w:tcPr>
            <w:tcW w:w="3301" w:type="dxa"/>
          </w:tcPr>
          <w:p w14:paraId="0DB8B1BC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UBA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的基址（以1GB对界）</w:t>
            </w:r>
          </w:p>
        </w:tc>
      </w:tr>
      <w:tr w14:paraId="5A826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1" w:type="dxa"/>
            <w:vMerge w:val="continue"/>
          </w:tcPr>
          <w:p w14:paraId="03F0E756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  <w:highlight w:val="yellow"/>
              </w:rPr>
            </w:pPr>
          </w:p>
        </w:tc>
        <w:tc>
          <w:tcPr>
            <w:tcW w:w="2008" w:type="dxa"/>
          </w:tcPr>
          <w:p w14:paraId="4BE79101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trike/>
                <w:sz w:val="21"/>
                <w:szCs w:val="21"/>
                <w:highlight w:val="yellow"/>
              </w:rPr>
            </w:pPr>
            <w:r>
              <w:rPr>
                <w:rFonts w:ascii="Times New Roman" w:hAnsi="Times New Roman" w:eastAsia="宋体" w:cs="Times New Roman"/>
                <w:strike/>
                <w:sz w:val="21"/>
                <w:szCs w:val="21"/>
                <w:highlight w:val="yellow"/>
              </w:rPr>
              <w:t>FOW</w:t>
            </w:r>
          </w:p>
        </w:tc>
        <w:tc>
          <w:tcPr>
            <w:tcW w:w="1722" w:type="dxa"/>
          </w:tcPr>
          <w:p w14:paraId="0DB2A723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trike/>
                <w:sz w:val="21"/>
                <w:szCs w:val="21"/>
                <w:highlight w:val="yellow"/>
              </w:rPr>
            </w:pPr>
            <w:r>
              <w:rPr>
                <w:rFonts w:ascii="Times New Roman" w:hAnsi="Times New Roman" w:eastAsia="宋体" w:cs="Times New Roman"/>
                <w:strike/>
                <w:sz w:val="21"/>
                <w:szCs w:val="21"/>
                <w:highlight w:val="yellow"/>
              </w:rPr>
              <w:t>[2]</w:t>
            </w:r>
          </w:p>
        </w:tc>
        <w:tc>
          <w:tcPr>
            <w:tcW w:w="3301" w:type="dxa"/>
          </w:tcPr>
          <w:p w14:paraId="19C2A00A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trike/>
                <w:sz w:val="21"/>
                <w:szCs w:val="21"/>
                <w:highlight w:val="yellow"/>
              </w:rPr>
            </w:pPr>
            <w:r>
              <w:rPr>
                <w:rFonts w:ascii="Times New Roman" w:hAnsi="Times New Roman" w:eastAsia="宋体" w:cs="Times New Roman"/>
                <w:strike/>
                <w:sz w:val="21"/>
                <w:szCs w:val="21"/>
                <w:highlight w:val="yellow"/>
              </w:rPr>
              <w:t>写故障位，为1表示空间不可写</w:t>
            </w:r>
          </w:p>
        </w:tc>
      </w:tr>
      <w:tr w14:paraId="1BDE8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1" w:type="dxa"/>
            <w:vMerge w:val="continue"/>
          </w:tcPr>
          <w:p w14:paraId="1B68B07E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  <w:highlight w:val="yellow"/>
              </w:rPr>
            </w:pPr>
          </w:p>
        </w:tc>
        <w:tc>
          <w:tcPr>
            <w:tcW w:w="2008" w:type="dxa"/>
          </w:tcPr>
          <w:p w14:paraId="1A478B65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trike/>
                <w:sz w:val="21"/>
                <w:szCs w:val="21"/>
                <w:highlight w:val="yellow"/>
              </w:rPr>
            </w:pPr>
            <w:r>
              <w:rPr>
                <w:rFonts w:ascii="Times New Roman" w:hAnsi="Times New Roman" w:eastAsia="宋体" w:cs="Times New Roman"/>
                <w:strike/>
                <w:sz w:val="21"/>
                <w:szCs w:val="21"/>
                <w:highlight w:val="yellow"/>
              </w:rPr>
              <w:t>FOR</w:t>
            </w:r>
          </w:p>
        </w:tc>
        <w:tc>
          <w:tcPr>
            <w:tcW w:w="1722" w:type="dxa"/>
          </w:tcPr>
          <w:p w14:paraId="45BB6F51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trike/>
                <w:sz w:val="21"/>
                <w:szCs w:val="21"/>
                <w:highlight w:val="yellow"/>
              </w:rPr>
            </w:pPr>
            <w:r>
              <w:rPr>
                <w:rFonts w:ascii="Times New Roman" w:hAnsi="Times New Roman" w:eastAsia="宋体" w:cs="Times New Roman"/>
                <w:strike/>
                <w:sz w:val="21"/>
                <w:szCs w:val="21"/>
                <w:highlight w:val="yellow"/>
              </w:rPr>
              <w:t>[1]</w:t>
            </w:r>
          </w:p>
        </w:tc>
        <w:tc>
          <w:tcPr>
            <w:tcW w:w="3301" w:type="dxa"/>
          </w:tcPr>
          <w:p w14:paraId="42AA5729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trike/>
                <w:sz w:val="21"/>
                <w:szCs w:val="21"/>
                <w:highlight w:val="yellow"/>
              </w:rPr>
            </w:pPr>
            <w:r>
              <w:rPr>
                <w:rFonts w:ascii="Times New Roman" w:hAnsi="Times New Roman" w:eastAsia="宋体" w:cs="Times New Roman"/>
                <w:strike/>
                <w:sz w:val="21"/>
                <w:szCs w:val="21"/>
                <w:highlight w:val="yellow"/>
              </w:rPr>
              <w:t>读故障位，为1表示空间不可读</w:t>
            </w:r>
          </w:p>
        </w:tc>
      </w:tr>
      <w:tr w14:paraId="469FFC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1" w:type="dxa"/>
            <w:vMerge w:val="continue"/>
          </w:tcPr>
          <w:p w14:paraId="3A2F3535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  <w:highlight w:val="yellow"/>
              </w:rPr>
            </w:pPr>
          </w:p>
        </w:tc>
        <w:tc>
          <w:tcPr>
            <w:tcW w:w="2008" w:type="dxa"/>
          </w:tcPr>
          <w:p w14:paraId="4018F29E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Grn</w:t>
            </w:r>
          </w:p>
        </w:tc>
        <w:tc>
          <w:tcPr>
            <w:tcW w:w="1722" w:type="dxa"/>
          </w:tcPr>
          <w:p w14:paraId="18207DD4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[0]</w:t>
            </w:r>
          </w:p>
        </w:tc>
        <w:tc>
          <w:tcPr>
            <w:tcW w:w="3301" w:type="dxa"/>
          </w:tcPr>
          <w:p w14:paraId="3187ED1B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粒度位：为1表示段空间；为0表示页空间（1GB页粒度）。</w:t>
            </w:r>
          </w:p>
        </w:tc>
      </w:tr>
    </w:tbl>
    <w:p w14:paraId="6E293F76">
      <w:pPr>
        <w:spacing w:after="0" w:line="360" w:lineRule="auto"/>
        <w:ind w:firstLine="560" w:firstLineChars="200"/>
        <w:jc w:val="both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当进行SDecoder命中判断时，使用User侧物理地址Req_PA[47:30]与SDTLB的128个条目的Tag部分进行比较，若满足以下条件，则认为命中对应条目：</w:t>
      </w:r>
    </w:p>
    <w:p w14:paraId="3F748A21">
      <w:pPr>
        <w:pStyle w:val="35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SDTLB快表条目有效；</w:t>
      </w:r>
    </w:p>
    <w:p w14:paraId="74E3DBFE">
      <w:pPr>
        <w:pStyle w:val="35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地址的[47:35]位匹配，即Req_PA[47:35] = PA_Base[47:35]；</w:t>
      </w:r>
    </w:p>
    <w:p w14:paraId="492B7E8A">
      <w:pPr>
        <w:pStyle w:val="35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Req_PA落在PA_Base和PA_Up所表示的范围内，即PA_Base[34:30] &lt;= Req_PA[34:30] &lt;= PA_Up[34:30]。</w:t>
      </w:r>
    </w:p>
    <w:p w14:paraId="5C85627E">
      <w:pPr>
        <w:spacing w:after="0" w:line="360" w:lineRule="auto"/>
        <w:ind w:firstLine="560" w:firstLineChars="200"/>
        <w:jc w:val="both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命中对应条目后，得到的代换结果为：</w:t>
      </w:r>
    </w:p>
    <w:p w14:paraId="290634ED">
      <w:pPr>
        <w:spacing w:after="0" w:line="360" w:lineRule="auto"/>
        <w:ind w:firstLine="562" w:firstLineChars="200"/>
        <w:jc w:val="both"/>
        <w:rPr>
          <w:rFonts w:ascii="Times New Roman" w:hAnsi="Times New Roman" w:eastAsia="宋体" w:cs="Times New Roman"/>
          <w:sz w:val="28"/>
          <w:szCs w:val="28"/>
          <w:highlight w:val="none"/>
        </w:rPr>
      </w:pPr>
      <w:r>
        <w:rPr>
          <w:rFonts w:hint="eastAsia" w:ascii="Times New Roman" w:hAnsi="Times New Roman" w:eastAsia="宋体" w:cs="Times New Roman"/>
          <w:b/>
          <w:bCs/>
          <w:sz w:val="28"/>
          <w:szCs w:val="28"/>
          <w:highlight w:val="none"/>
          <w:lang w:val="en-US" w:eastAsia="zh-CN"/>
        </w:rPr>
        <w:t>UBA</w:t>
      </w:r>
      <w:r>
        <w:rPr>
          <w:rFonts w:ascii="Times New Roman" w:hAnsi="Times New Roman" w:eastAsia="宋体" w:cs="Times New Roman"/>
          <w:b/>
          <w:bCs/>
          <w:sz w:val="28"/>
          <w:szCs w:val="28"/>
          <w:highlight w:val="none"/>
        </w:rPr>
        <w:t>[47:0]={ {S_PFN[47:30] + {13’h0, {Req_PA[34:30] - PA_Base[34:30]} } , Req_PA[29:0] }</w:t>
      </w:r>
    </w:p>
    <w:p w14:paraId="306E4856">
      <w:pPr>
        <w:pStyle w:val="46"/>
      </w:pPr>
      <w:r>
        <w:t>SMMU设计</w:t>
      </w:r>
    </w:p>
    <w:p w14:paraId="11D9CFCE">
      <w:pPr>
        <w:spacing w:after="0" w:line="360" w:lineRule="auto"/>
        <w:ind w:firstLine="560" w:firstLineChars="200"/>
        <w:jc w:val="both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SMMU作为576超节点系统中的内存访问控制组件，在Home侧提供内存资源的地址映射（以及访问权限校验）。</w:t>
      </w:r>
    </w:p>
    <w:p w14:paraId="6C05CD07">
      <w:pPr>
        <w:spacing w:after="0" w:line="360" w:lineRule="auto"/>
        <w:ind w:firstLine="560" w:firstLineChars="200"/>
        <w:jc w:val="both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SMMU代换的完整流程包含四个步骤：配置查找、上下文查找、地址转换、权限校验。其中，</w:t>
      </w:r>
      <w:r>
        <w:rPr>
          <w:rFonts w:ascii="Times New Roman" w:hAnsi="Times New Roman" w:eastAsia="宋体" w:cs="Times New Roman"/>
          <w:sz w:val="28"/>
          <w:szCs w:val="28"/>
          <w:highlight w:val="yellow"/>
        </w:rPr>
        <w:t>EID只用于网络路由，不参与地址代换。</w:t>
      </w:r>
      <w:r>
        <w:rPr>
          <w:rFonts w:ascii="Times New Roman" w:hAnsi="Times New Roman" w:eastAsia="宋体" w:cs="Times New Roman"/>
          <w:sz w:val="28"/>
          <w:szCs w:val="28"/>
        </w:rPr>
        <w:t>Token ID用于索引上下文查找表（确定页表基址</w:t>
      </w:r>
      <w:r>
        <w:rPr>
          <w:rFonts w:hint="eastAsia" w:ascii="Times New Roman" w:hAnsi="Times New Roman" w:eastAsia="宋体" w:cs="Times New Roman"/>
          <w:sz w:val="28"/>
          <w:szCs w:val="28"/>
          <w:lang w:eastAsia="zh-CN"/>
        </w:rPr>
        <w:t>、</w:t>
      </w:r>
      <w:r>
        <w:rPr>
          <w:rFonts w:ascii="Times New Roman" w:hAnsi="Times New Roman" w:eastAsia="宋体" w:cs="Times New Roman"/>
          <w:sz w:val="28"/>
          <w:szCs w:val="28"/>
        </w:rPr>
        <w:t>页表类型），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UBA</w:t>
      </w:r>
      <w:r>
        <w:rPr>
          <w:rFonts w:ascii="Times New Roman" w:hAnsi="Times New Roman" w:eastAsia="宋体" w:cs="Times New Roman"/>
          <w:sz w:val="28"/>
          <w:szCs w:val="28"/>
        </w:rPr>
        <w:t>用于索引地址转换表和权限校验表（完成地址代换和权限检查）。</w:t>
      </w:r>
    </w:p>
    <w:p w14:paraId="3597726A">
      <w:pPr>
        <w:spacing w:line="360" w:lineRule="auto"/>
        <w:jc w:val="center"/>
        <w:rPr>
          <w:rFonts w:ascii="Times New Roman" w:hAnsi="Times New Roman" w:eastAsia="华文仿宋" w:cs="Times New Roman"/>
          <w:sz w:val="28"/>
          <w:szCs w:val="28"/>
        </w:rPr>
      </w:pPr>
      <w:r>
        <w:rPr>
          <w:rFonts w:ascii="Times New Roman" w:hAnsi="Times New Roman" w:eastAsia="华文仿宋" w:cs="Times New Roman"/>
          <w:sz w:val="28"/>
          <w:szCs w:val="28"/>
        </w:rPr>
        <w:drawing>
          <wp:inline distT="0" distB="0" distL="0" distR="0">
            <wp:extent cx="4808220" cy="1080770"/>
            <wp:effectExtent l="0" t="0" r="0" b="5080"/>
            <wp:docPr id="195742235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422350" name="图片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33712" cy="10870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0D2381">
      <w:pPr>
        <w:spacing w:after="0" w:line="360" w:lineRule="auto"/>
        <w:jc w:val="center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4"/>
        </w:rPr>
        <w:t>图5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-2</w:t>
      </w:r>
      <w:r>
        <w:rPr>
          <w:rFonts w:ascii="Times New Roman" w:hAnsi="Times New Roman" w:eastAsia="宋体" w:cs="Times New Roman"/>
          <w:sz w:val="24"/>
        </w:rPr>
        <w:t>：UMMU功能：Home侧的FA到PA的地址转换和权限校验</w:t>
      </w:r>
    </w:p>
    <w:p w14:paraId="2917BAEC">
      <w:pPr>
        <w:pStyle w:val="48"/>
      </w:pPr>
      <w:r>
        <w:t>页表基址</w:t>
      </w:r>
    </w:p>
    <w:p w14:paraId="0E6AA5E9">
      <w:pPr>
        <w:spacing w:after="0" w:line="360" w:lineRule="auto"/>
        <w:ind w:firstLine="420"/>
        <w:jc w:val="both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Target Context Table（TCT）用于存放上下文信息（页表基址和页表类型等）。华为UMMU中TCT基址是通过EID查找Target Entity Configuration Table（TECT）得到。在我们的设计中，EID只用于网络路由，不参与地址代换。</w:t>
      </w:r>
    </w:p>
    <w:p w14:paraId="2C6B9BA3">
      <w:pPr>
        <w:spacing w:after="0" w:line="360" w:lineRule="auto"/>
        <w:ind w:firstLine="420"/>
        <w:jc w:val="both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TCT基址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和类型</w:t>
      </w:r>
      <w:r>
        <w:rPr>
          <w:rFonts w:ascii="Times New Roman" w:hAnsi="Times New Roman" w:eastAsia="宋体" w:cs="Times New Roman"/>
          <w:sz w:val="28"/>
          <w:szCs w:val="28"/>
        </w:rPr>
        <w:t>由软件填写</w:t>
      </w:r>
      <w:r>
        <w:rPr>
          <w:rFonts w:hint="eastAsia" w:ascii="Times New Roman" w:hAnsi="Times New Roman" w:eastAsia="宋体" w:cs="Times New Roman"/>
          <w:sz w:val="28"/>
          <w:szCs w:val="28"/>
          <w:lang w:eastAsia="zh-CN"/>
        </w:rPr>
        <w:t>。</w:t>
      </w:r>
      <w:r>
        <w:rPr>
          <w:rFonts w:ascii="Times New Roman" w:hAnsi="Times New Roman" w:eastAsia="宋体" w:cs="Times New Roman"/>
          <w:sz w:val="28"/>
          <w:szCs w:val="28"/>
        </w:rPr>
        <w:t>TCT_Base用于指定TCT表基址，TCT_Type用于指定TCT表类型（</w:t>
      </w:r>
      <w:r>
        <w:rPr>
          <w:rFonts w:ascii="Times New Roman" w:hAnsi="Times New Roman" w:eastAsia="宋体" w:cs="Times New Roman"/>
          <w:sz w:val="28"/>
          <w:szCs w:val="28"/>
          <w:highlight w:val="yellow"/>
        </w:rPr>
        <w:t>类似华为的线性和二级表两种结构</w:t>
      </w:r>
      <w:r>
        <w:rPr>
          <w:rFonts w:hint="eastAsia" w:ascii="Times New Roman" w:hAnsi="Times New Roman" w:eastAsia="宋体" w:cs="Times New Roman"/>
          <w:sz w:val="28"/>
          <w:szCs w:val="28"/>
          <w:highlight w:val="yellow"/>
          <w:lang w:eastAsia="zh-CN"/>
        </w:rPr>
        <w:t>。</w:t>
      </w:r>
      <w:r>
        <w:rPr>
          <w:rFonts w:hint="eastAsia" w:ascii="Times New Roman" w:hAnsi="Times New Roman" w:eastAsia="宋体" w:cs="Times New Roman"/>
          <w:sz w:val="28"/>
          <w:szCs w:val="28"/>
          <w:highlight w:val="yellow"/>
          <w:lang w:val="en-US" w:eastAsia="zh-CN"/>
        </w:rPr>
        <w:t>在我们的设计中可以只实现线性结构，取决于TokdenID位宽</w:t>
      </w:r>
      <w:r>
        <w:rPr>
          <w:rFonts w:ascii="Times New Roman" w:hAnsi="Times New Roman" w:eastAsia="宋体" w:cs="Times New Roman"/>
          <w:sz w:val="28"/>
          <w:szCs w:val="28"/>
        </w:rPr>
        <w:t>）。SMMU地址代换首先根据TCT表基址、TCT表类型和TokenID，得到对应的TCT条目。</w:t>
      </w:r>
    </w:p>
    <w:p w14:paraId="373E7456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1817370" cy="1976120"/>
            <wp:effectExtent l="0" t="0" r="11430" b="5080"/>
            <wp:docPr id="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17370" cy="197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drawing>
          <wp:inline distT="0" distB="0" distL="114300" distR="114300">
            <wp:extent cx="3095625" cy="1840230"/>
            <wp:effectExtent l="0" t="0" r="3175" b="1270"/>
            <wp:docPr id="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184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1E2F4">
      <w:pPr>
        <w:spacing w:after="0" w:line="360" w:lineRule="auto"/>
        <w:jc w:val="center"/>
        <w:rPr>
          <w:rFonts w:hint="eastAsia" w:ascii="Times New Roman" w:hAnsi="Times New Roman" w:eastAsia="宋体" w:cs="Times New Roman"/>
          <w:lang w:eastAsia="zh-CN"/>
        </w:rPr>
      </w:pPr>
      <w:r>
        <w:rPr>
          <w:rFonts w:ascii="Times New Roman" w:hAnsi="Times New Roman" w:eastAsia="宋体" w:cs="Times New Roman"/>
          <w:sz w:val="24"/>
        </w:rPr>
        <w:t>图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5-3</w:t>
      </w:r>
      <w:r>
        <w:rPr>
          <w:rFonts w:ascii="Times New Roman" w:hAnsi="Times New Roman" w:eastAsia="宋体" w:cs="Times New Roman"/>
          <w:sz w:val="24"/>
        </w:rPr>
        <w:t>：UMMU功能：TCT表结构</w:t>
      </w:r>
      <w:r>
        <w:rPr>
          <w:rFonts w:hint="eastAsia" w:ascii="Times New Roman" w:hAnsi="Times New Roman" w:eastAsia="宋体" w:cs="Times New Roman"/>
          <w:sz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线性和二级表</w:t>
      </w:r>
      <w:r>
        <w:rPr>
          <w:rFonts w:hint="eastAsia" w:ascii="Times New Roman" w:hAnsi="Times New Roman" w:eastAsia="宋体" w:cs="Times New Roman"/>
          <w:sz w:val="24"/>
          <w:lang w:eastAsia="zh-CN"/>
        </w:rPr>
        <w:t>）</w:t>
      </w:r>
    </w:p>
    <w:p w14:paraId="703D6B6A">
      <w:pPr>
        <w:spacing w:after="0" w:line="360" w:lineRule="auto"/>
        <w:ind w:firstLine="420"/>
        <w:jc w:val="both"/>
        <w:rPr>
          <w:rFonts w:hint="eastAsia" w:ascii="Times New Roman" w:hAnsi="Times New Roman" w:eastAsia="宋体" w:cs="Times New Roman"/>
          <w:sz w:val="28"/>
          <w:szCs w:val="28"/>
          <w:lang w:eastAsia="zh-CN"/>
        </w:rPr>
      </w:pPr>
      <w:r>
        <w:rPr>
          <w:rFonts w:ascii="Times New Roman" w:hAnsi="Times New Roman" w:eastAsia="宋体" w:cs="Times New Roman"/>
          <w:sz w:val="28"/>
          <w:szCs w:val="28"/>
        </w:rPr>
        <w:t>TCT条目指定页表基址（PTBR）和页表类型（PTType）。页表类型可以指定页表是采用几级结构（最大是四级结构，对应UBA[47:0]），该功能与建立页表时Malloc空间的大小有关。以8KB基础页为例，三级表可覆盖8TB的地址空间（8KB*1024*1024*1024），二级表可覆盖8GB的地址空间。如果通信库只Malloc 1GB空间，可以只建立二级表结构</w:t>
      </w:r>
      <w:r>
        <w:rPr>
          <w:rFonts w:hint="eastAsia" w:ascii="Times New Roman" w:hAnsi="Times New Roman" w:eastAsia="宋体" w:cs="Times New Roman"/>
          <w:sz w:val="28"/>
          <w:szCs w:val="28"/>
          <w:lang w:eastAsia="zh-CN"/>
        </w:rPr>
        <w:t>。</w:t>
      </w:r>
    </w:p>
    <w:p w14:paraId="3CC83E28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5249545" cy="2032635"/>
            <wp:effectExtent l="0" t="0" r="8255" b="1206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49545" cy="203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484C6">
      <w:pPr>
        <w:spacing w:after="0" w:line="360" w:lineRule="auto"/>
        <w:jc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24"/>
        </w:rPr>
        <w:t>图5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-4</w:t>
      </w:r>
      <w:r>
        <w:rPr>
          <w:rFonts w:ascii="Times New Roman" w:hAnsi="Times New Roman" w:eastAsia="宋体" w:cs="Times New Roman"/>
          <w:sz w:val="24"/>
        </w:rPr>
        <w:t>：UBA四级代换结构</w:t>
      </w:r>
    </w:p>
    <w:p w14:paraId="27D13752">
      <w:pPr>
        <w:spacing w:after="0" w:line="360" w:lineRule="auto"/>
        <w:ind w:firstLine="420"/>
        <w:jc w:val="both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SMMU页面粒度保持与核心MMU相同（或只实现部分页面粒度）。硬件Pagewalk会判断页面粒度，对于超过8KB粒度的大页，PageWalk时不需要访问到最后一级页表即可获得最终的代换地址。</w:t>
      </w:r>
    </w:p>
    <w:p w14:paraId="54CA46FD">
      <w:pPr>
        <w:spacing w:after="0" w:line="360" w:lineRule="auto"/>
        <w:ind w:firstLine="420" w:firstLineChars="0"/>
        <w:jc w:val="both"/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补充说明：</w:t>
      </w:r>
    </w:p>
    <w:p w14:paraId="768B2026">
      <w:pPr>
        <w:numPr>
          <w:ilvl w:val="0"/>
          <w:numId w:val="8"/>
        </w:numPr>
        <w:spacing w:after="0" w:line="360" w:lineRule="auto"/>
        <w:ind w:firstLine="420" w:firstLineChars="0"/>
        <w:jc w:val="both"/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对于“</w:t>
      </w:r>
      <w:r>
        <w:rPr>
          <w:rFonts w:ascii="Times New Roman" w:hAnsi="Times New Roman" w:eastAsia="宋体" w:cs="Times New Roman"/>
          <w:sz w:val="28"/>
          <w:szCs w:val="28"/>
        </w:rPr>
        <w:t>通信库只Malloc 1GB空间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”的情况，使用四级表结构还是二级表结构，两者的差异在于存储资源开销和代换延时开销。对于四级表结构，前两级页表的基地址也需要占用内存（8KB页面）。延时开销是四级表结构多了两次访存（尽管设置PSC，但首次访问时两次访存必不可少）。</w:t>
      </w:r>
    </w:p>
    <w:p w14:paraId="4D6C9111">
      <w:pPr>
        <w:numPr>
          <w:ilvl w:val="0"/>
          <w:numId w:val="8"/>
        </w:numPr>
        <w:spacing w:after="0" w:line="360" w:lineRule="auto"/>
        <w:ind w:firstLine="420" w:firstLineChars="0"/>
        <w:jc w:val="both"/>
        <w:rPr>
          <w:rFonts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bCs/>
          <w:sz w:val="28"/>
          <w:szCs w:val="28"/>
          <w:lang w:val="en-US" w:eastAsia="zh-CN"/>
        </w:rPr>
        <w:t>在V2.5版方案中，对于“通信库Malloc 1GB空间，只建立二级表结构”的情况，限定UBA在1GB空间内（高位地址位零）。</w:t>
      </w:r>
      <w:r>
        <w:rPr>
          <w:rFonts w:hint="eastAsia" w:ascii="Times New Roman" w:hAnsi="Times New Roman" w:eastAsia="宋体" w:cs="Times New Roman"/>
          <w:b/>
          <w:bCs/>
          <w:sz w:val="28"/>
          <w:szCs w:val="28"/>
          <w:highlight w:val="yellow"/>
          <w:lang w:val="en-US" w:eastAsia="zh-CN"/>
        </w:rPr>
        <w:t>为应对更为灵活的情况，特别是V2.6版方案对TokenID的理解（一个逻辑池使用相同的TokenID，相同逻辑池中不同Home导出的UBA连续），建议在TCT条目中增加UBA_BASE。UBA减去UBA_BASE之后，在进行页表代换</w:t>
      </w:r>
      <w:r>
        <w:rPr>
          <w:rFonts w:hint="eastAsia" w:ascii="Times New Roman" w:hAnsi="Times New Roman" w:eastAsia="宋体" w:cs="Times New Roman"/>
          <w:b/>
          <w:bCs/>
          <w:sz w:val="28"/>
          <w:szCs w:val="28"/>
          <w:lang w:val="en-US" w:eastAsia="zh-CN"/>
        </w:rPr>
        <w:t>。</w:t>
      </w:r>
    </w:p>
    <w:p w14:paraId="30F39A50">
      <w:pPr>
        <w:pStyle w:val="48"/>
      </w:pPr>
      <w:r>
        <w:t>页表结构</w:t>
      </w:r>
    </w:p>
    <w:p w14:paraId="0C73AE88">
      <w:pPr>
        <w:spacing w:after="0" w:line="360" w:lineRule="auto"/>
        <w:ind w:firstLine="560" w:firstLineChars="200"/>
        <w:jc w:val="both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页表类型可以指定页表是采用几级结构</w:t>
      </w:r>
      <w:r>
        <w:rPr>
          <w:rFonts w:hint="eastAsia" w:ascii="Times New Roman" w:hAnsi="Times New Roman" w:eastAsia="宋体" w:cs="Times New Roman"/>
          <w:sz w:val="28"/>
          <w:szCs w:val="28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最大是四级结构</w:t>
      </w:r>
      <w:r>
        <w:rPr>
          <w:rFonts w:hint="eastAsia" w:ascii="Times New Roman" w:hAnsi="Times New Roman" w:eastAsia="宋体" w:cs="Times New Roman"/>
          <w:sz w:val="28"/>
          <w:szCs w:val="28"/>
          <w:lang w:eastAsia="zh-CN"/>
        </w:rPr>
        <w:t>）</w:t>
      </w:r>
      <w:r>
        <w:rPr>
          <w:rFonts w:ascii="Times New Roman" w:hAnsi="Times New Roman" w:eastAsia="宋体" w:cs="Times New Roman"/>
          <w:sz w:val="28"/>
          <w:szCs w:val="28"/>
        </w:rPr>
        <w:t>，该功能与建立页表时Malloc空间的大小有关。本节以四级页式页表进行说明。</w:t>
      </w:r>
    </w:p>
    <w:p w14:paraId="4CFB451D">
      <w:pPr>
        <w:spacing w:after="0" w:line="360" w:lineRule="auto"/>
        <w:ind w:firstLine="560" w:firstLineChars="200"/>
        <w:jc w:val="both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SMMU页表分为四级：一级页表目录PGD、二级页表目录PUD、三级页表目录PMD、四级页表PTE。</w:t>
      </w:r>
      <w:r>
        <w:rPr>
          <w:rFonts w:ascii="Times New Roman" w:hAnsi="Times New Roman" w:eastAsia="宋体" w:cs="Times New Roman"/>
          <w:sz w:val="28"/>
          <w:szCs w:val="28"/>
          <w:highlight w:val="yellow"/>
        </w:rPr>
        <w:t>PGD/PUD/PMD/PTE的页表条目内容结构，与核心GPT页表设置基本一致。</w:t>
      </w:r>
    </w:p>
    <w:p w14:paraId="5E973BBB">
      <w:pPr>
        <w:spacing w:after="0" w:line="360" w:lineRule="auto"/>
        <w:jc w:val="center"/>
        <w:rPr>
          <w:rFonts w:ascii="Times New Roman" w:hAnsi="Times New Roman" w:eastAsia="宋体" w:cs="Times New Roman"/>
          <w:color w:val="EE0000"/>
          <w:sz w:val="24"/>
          <w:highlight w:val="yellow"/>
        </w:rPr>
      </w:pPr>
      <w:r>
        <w:rPr>
          <w:rFonts w:ascii="Times New Roman" w:hAnsi="Times New Roman" w:eastAsia="宋体" w:cs="Times New Roman"/>
          <w:color w:val="EE0000"/>
          <w:sz w:val="24"/>
          <w:highlight w:val="yellow"/>
        </w:rPr>
        <w:t>表4：SMMU页表条目内容</w:t>
      </w: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4"/>
        <w:gridCol w:w="1913"/>
        <w:gridCol w:w="3969"/>
      </w:tblGrid>
      <w:tr w14:paraId="2DDB0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4" w:type="dxa"/>
          </w:tcPr>
          <w:p w14:paraId="6ADB58BC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域</w:t>
            </w:r>
            <w:r>
              <w:rPr>
                <w:rFonts w:ascii="Times New Roman" w:hAnsi="Times New Roman" w:eastAsia="宋体" w:cs="Times New Roman"/>
                <w:sz w:val="24"/>
              </w:rPr>
              <w:t>名</w:t>
            </w:r>
          </w:p>
        </w:tc>
        <w:tc>
          <w:tcPr>
            <w:tcW w:w="1913" w:type="dxa"/>
          </w:tcPr>
          <w:p w14:paraId="7BE82266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范围（</w:t>
            </w:r>
            <w:r>
              <w:rPr>
                <w:rFonts w:ascii="Times New Roman" w:hAnsi="Times New Roman" w:eastAsia="宋体" w:cs="Times New Roman"/>
                <w:i/>
                <w:iCs/>
                <w:sz w:val="21"/>
                <w:szCs w:val="21"/>
              </w:rPr>
              <w:t>共42位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）</w:t>
            </w:r>
          </w:p>
        </w:tc>
        <w:tc>
          <w:tcPr>
            <w:tcW w:w="3969" w:type="dxa"/>
          </w:tcPr>
          <w:p w14:paraId="137C97DF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描述</w:t>
            </w:r>
          </w:p>
        </w:tc>
      </w:tr>
      <w:tr w14:paraId="3268AE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4" w:type="dxa"/>
          </w:tcPr>
          <w:p w14:paraId="45AA762F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PFN[47:13]</w:t>
            </w:r>
          </w:p>
        </w:tc>
        <w:tc>
          <w:tcPr>
            <w:tcW w:w="1913" w:type="dxa"/>
          </w:tcPr>
          <w:p w14:paraId="3784C6F6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[58:24]</w:t>
            </w:r>
          </w:p>
        </w:tc>
        <w:tc>
          <w:tcPr>
            <w:tcW w:w="3969" w:type="dxa"/>
          </w:tcPr>
          <w:p w14:paraId="7BD195B1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物理地址页面号</w:t>
            </w:r>
          </w:p>
        </w:tc>
      </w:tr>
      <w:tr w14:paraId="2B6CC9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4" w:type="dxa"/>
          </w:tcPr>
          <w:p w14:paraId="7502C531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……</w:t>
            </w:r>
          </w:p>
        </w:tc>
        <w:tc>
          <w:tcPr>
            <w:tcW w:w="1913" w:type="dxa"/>
          </w:tcPr>
          <w:p w14:paraId="0653E38A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i/>
                <w:iCs/>
                <w:sz w:val="21"/>
                <w:szCs w:val="21"/>
              </w:rPr>
            </w:pPr>
          </w:p>
        </w:tc>
        <w:tc>
          <w:tcPr>
            <w:tcW w:w="3969" w:type="dxa"/>
          </w:tcPr>
          <w:p w14:paraId="5B4CC6A0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……</w:t>
            </w:r>
          </w:p>
        </w:tc>
      </w:tr>
      <w:tr w14:paraId="48BC5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4" w:type="dxa"/>
          </w:tcPr>
          <w:p w14:paraId="0776859A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ACCESSED</w:t>
            </w:r>
          </w:p>
        </w:tc>
        <w:tc>
          <w:tcPr>
            <w:tcW w:w="1913" w:type="dxa"/>
          </w:tcPr>
          <w:p w14:paraId="68F025FB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i/>
                <w:iCs/>
                <w:sz w:val="21"/>
                <w:szCs w:val="21"/>
              </w:rPr>
            </w:pPr>
          </w:p>
        </w:tc>
        <w:tc>
          <w:tcPr>
            <w:tcW w:w="3969" w:type="dxa"/>
          </w:tcPr>
          <w:p w14:paraId="5FEE017F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（软件使用）</w:t>
            </w:r>
          </w:p>
        </w:tc>
      </w:tr>
      <w:tr w14:paraId="44E50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4" w:type="dxa"/>
          </w:tcPr>
          <w:p w14:paraId="7BEACA68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……</w:t>
            </w:r>
          </w:p>
        </w:tc>
        <w:tc>
          <w:tcPr>
            <w:tcW w:w="1913" w:type="dxa"/>
          </w:tcPr>
          <w:p w14:paraId="7963F8A8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i/>
                <w:iCs/>
                <w:sz w:val="21"/>
                <w:szCs w:val="21"/>
              </w:rPr>
            </w:pPr>
          </w:p>
        </w:tc>
        <w:tc>
          <w:tcPr>
            <w:tcW w:w="3969" w:type="dxa"/>
          </w:tcPr>
          <w:p w14:paraId="0B472F0F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……</w:t>
            </w:r>
          </w:p>
        </w:tc>
      </w:tr>
      <w:tr w14:paraId="405A98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4" w:type="dxa"/>
          </w:tcPr>
          <w:p w14:paraId="2143A538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trike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trike/>
                <w:sz w:val="21"/>
                <w:szCs w:val="21"/>
              </w:rPr>
              <w:t>PCD</w:t>
            </w:r>
          </w:p>
        </w:tc>
        <w:tc>
          <w:tcPr>
            <w:tcW w:w="1913" w:type="dxa"/>
          </w:tcPr>
          <w:p w14:paraId="3B2623A5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i/>
                <w:iCs/>
                <w:strike/>
                <w:sz w:val="21"/>
                <w:szCs w:val="21"/>
              </w:rPr>
            </w:pPr>
          </w:p>
        </w:tc>
        <w:tc>
          <w:tcPr>
            <w:tcW w:w="3969" w:type="dxa"/>
          </w:tcPr>
          <w:p w14:paraId="413243AA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trike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trike/>
                <w:sz w:val="21"/>
                <w:szCs w:val="21"/>
              </w:rPr>
              <w:t>不可Cache访问空间</w:t>
            </w:r>
          </w:p>
        </w:tc>
      </w:tr>
      <w:tr w14:paraId="65D61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4" w:type="dxa"/>
          </w:tcPr>
          <w:p w14:paraId="6E9DA04A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LastFlag</w:t>
            </w:r>
          </w:p>
        </w:tc>
        <w:tc>
          <w:tcPr>
            <w:tcW w:w="1913" w:type="dxa"/>
          </w:tcPr>
          <w:p w14:paraId="301B2E3F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i/>
                <w:iCs/>
                <w:sz w:val="21"/>
                <w:szCs w:val="21"/>
              </w:rPr>
            </w:pPr>
          </w:p>
        </w:tc>
        <w:tc>
          <w:tcPr>
            <w:tcW w:w="3969" w:type="dxa"/>
          </w:tcPr>
          <w:p w14:paraId="1DC9E800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最后一级标志</w:t>
            </w:r>
          </w:p>
        </w:tc>
      </w:tr>
      <w:tr w14:paraId="2E80FA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4" w:type="dxa"/>
          </w:tcPr>
          <w:p w14:paraId="61F9F0FE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ContFlag</w:t>
            </w:r>
          </w:p>
        </w:tc>
        <w:tc>
          <w:tcPr>
            <w:tcW w:w="1913" w:type="dxa"/>
          </w:tcPr>
          <w:p w14:paraId="4C9F2C52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i/>
                <w:iCs/>
                <w:sz w:val="21"/>
                <w:szCs w:val="21"/>
              </w:rPr>
            </w:pPr>
          </w:p>
        </w:tc>
        <w:tc>
          <w:tcPr>
            <w:tcW w:w="3969" w:type="dxa"/>
          </w:tcPr>
          <w:p w14:paraId="11741CC9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条目连续标志</w:t>
            </w:r>
          </w:p>
        </w:tc>
      </w:tr>
      <w:tr w14:paraId="6E578A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4" w:type="dxa"/>
          </w:tcPr>
          <w:p w14:paraId="25068771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FOR</w:t>
            </w:r>
          </w:p>
        </w:tc>
        <w:tc>
          <w:tcPr>
            <w:tcW w:w="1913" w:type="dxa"/>
          </w:tcPr>
          <w:p w14:paraId="0686BA0B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i/>
                <w:iCs/>
                <w:sz w:val="21"/>
                <w:szCs w:val="21"/>
              </w:rPr>
            </w:pPr>
          </w:p>
        </w:tc>
        <w:tc>
          <w:tcPr>
            <w:tcW w:w="3969" w:type="dxa"/>
          </w:tcPr>
          <w:p w14:paraId="799BF01D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读故障位</w:t>
            </w:r>
          </w:p>
        </w:tc>
      </w:tr>
      <w:tr w14:paraId="2FEA6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4" w:type="dxa"/>
          </w:tcPr>
          <w:p w14:paraId="2F6D691A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FOW</w:t>
            </w:r>
          </w:p>
        </w:tc>
        <w:tc>
          <w:tcPr>
            <w:tcW w:w="1913" w:type="dxa"/>
          </w:tcPr>
          <w:p w14:paraId="1365C99D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i/>
                <w:iCs/>
                <w:sz w:val="21"/>
                <w:szCs w:val="21"/>
              </w:rPr>
            </w:pPr>
          </w:p>
        </w:tc>
        <w:tc>
          <w:tcPr>
            <w:tcW w:w="3969" w:type="dxa"/>
          </w:tcPr>
          <w:p w14:paraId="42F4443B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写故障位</w:t>
            </w:r>
          </w:p>
        </w:tc>
      </w:tr>
      <w:tr w14:paraId="77536C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4" w:type="dxa"/>
          </w:tcPr>
          <w:p w14:paraId="4F8F30D7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trike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trike/>
                <w:sz w:val="21"/>
                <w:szCs w:val="21"/>
              </w:rPr>
              <w:t>FOE</w:t>
            </w:r>
          </w:p>
        </w:tc>
        <w:tc>
          <w:tcPr>
            <w:tcW w:w="1913" w:type="dxa"/>
          </w:tcPr>
          <w:p w14:paraId="43518DEF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i/>
                <w:iCs/>
                <w:strike/>
                <w:sz w:val="21"/>
                <w:szCs w:val="21"/>
              </w:rPr>
            </w:pPr>
          </w:p>
        </w:tc>
        <w:tc>
          <w:tcPr>
            <w:tcW w:w="3969" w:type="dxa"/>
          </w:tcPr>
          <w:p w14:paraId="2ABEDDE5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trike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trike/>
                <w:sz w:val="21"/>
                <w:szCs w:val="21"/>
              </w:rPr>
              <w:t>执行故障位</w:t>
            </w:r>
          </w:p>
        </w:tc>
      </w:tr>
      <w:tr w14:paraId="400F7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4" w:type="dxa"/>
          </w:tcPr>
          <w:p w14:paraId="5671F5C5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……</w:t>
            </w:r>
          </w:p>
        </w:tc>
        <w:tc>
          <w:tcPr>
            <w:tcW w:w="1913" w:type="dxa"/>
          </w:tcPr>
          <w:p w14:paraId="6CEE5E4E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i/>
                <w:iCs/>
                <w:sz w:val="21"/>
                <w:szCs w:val="21"/>
              </w:rPr>
            </w:pPr>
          </w:p>
        </w:tc>
        <w:tc>
          <w:tcPr>
            <w:tcW w:w="3969" w:type="dxa"/>
          </w:tcPr>
          <w:p w14:paraId="0FA4CB14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……</w:t>
            </w:r>
          </w:p>
        </w:tc>
      </w:tr>
      <w:tr w14:paraId="0A739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4" w:type="dxa"/>
          </w:tcPr>
          <w:p w14:paraId="2B8B57B2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Valid</w:t>
            </w:r>
          </w:p>
        </w:tc>
        <w:tc>
          <w:tcPr>
            <w:tcW w:w="1913" w:type="dxa"/>
          </w:tcPr>
          <w:p w14:paraId="1BB0210E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[0]</w:t>
            </w:r>
          </w:p>
        </w:tc>
        <w:tc>
          <w:tcPr>
            <w:tcW w:w="3969" w:type="dxa"/>
          </w:tcPr>
          <w:p w14:paraId="4EF0E44F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有效位</w:t>
            </w:r>
          </w:p>
        </w:tc>
      </w:tr>
    </w:tbl>
    <w:p w14:paraId="1053C9E8">
      <w:pPr>
        <w:spacing w:after="0" w:line="360" w:lineRule="auto"/>
        <w:jc w:val="both"/>
        <w:rPr>
          <w:rFonts w:ascii="Times New Roman" w:hAnsi="Times New Roman" w:eastAsia="宋体" w:cs="Times New Roman"/>
          <w:sz w:val="28"/>
          <w:szCs w:val="28"/>
        </w:rPr>
      </w:pPr>
    </w:p>
    <w:p w14:paraId="797583CC">
      <w:pPr>
        <w:pStyle w:val="48"/>
      </w:pPr>
      <w:r>
        <w:t>四级代换表查询</w:t>
      </w:r>
    </w:p>
    <w:p w14:paraId="2C4E23FE">
      <w:pPr>
        <w:spacing w:after="0" w:line="360" w:lineRule="auto"/>
        <w:ind w:firstLine="560" w:firstLineChars="200"/>
        <w:jc w:val="both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从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UBA</w:t>
      </w:r>
      <w:r>
        <w:rPr>
          <w:rFonts w:ascii="Times New Roman" w:hAnsi="Times New Roman" w:eastAsia="宋体" w:cs="Times New Roman"/>
          <w:sz w:val="28"/>
          <w:szCs w:val="28"/>
        </w:rPr>
        <w:t>[47:0]到PA[47:0]的代换流程如下：</w:t>
      </w:r>
    </w:p>
    <w:p w14:paraId="4CC79CEB">
      <w:pPr>
        <w:numPr>
          <w:ilvl w:val="0"/>
          <w:numId w:val="9"/>
        </w:numPr>
        <w:tabs>
          <w:tab w:val="left" w:pos="420"/>
          <w:tab w:val="clear" w:pos="840"/>
        </w:tabs>
        <w:spacing w:after="0" w:line="360" w:lineRule="auto"/>
        <w:jc w:val="both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一级页表条目的物理地址PGDIndex[47:0] = {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eastAsia="宋体" w:cs="Times New Roman"/>
          <w:sz w:val="28"/>
          <w:szCs w:val="28"/>
        </w:rPr>
        <w:t xml:space="preserve">PTBR[47:13], 13b’0} + { 40b’0, 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UBA</w:t>
      </w:r>
      <w:r>
        <w:rPr>
          <w:rFonts w:ascii="Times New Roman" w:hAnsi="Times New Roman" w:eastAsia="宋体" w:cs="Times New Roman"/>
          <w:sz w:val="28"/>
          <w:szCs w:val="28"/>
        </w:rPr>
        <w:t>[47:43], 3b’0};</w:t>
      </w:r>
    </w:p>
    <w:p w14:paraId="20DBAE74">
      <w:pPr>
        <w:numPr>
          <w:ilvl w:val="0"/>
          <w:numId w:val="9"/>
        </w:numPr>
        <w:tabs>
          <w:tab w:val="left" w:pos="420"/>
          <w:tab w:val="clear" w:pos="840"/>
        </w:tabs>
        <w:spacing w:after="0" w:line="360" w:lineRule="auto"/>
        <w:jc w:val="both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访问Home侧本地存储空间，读出PGDIndex[47:0]地址中存放的一级页表条目，进行有效位判断后，将其中的PFN作为二级页表起始物理地址PUDBase[47:13]；</w:t>
      </w:r>
    </w:p>
    <w:p w14:paraId="26C04BC5">
      <w:pPr>
        <w:numPr>
          <w:ilvl w:val="0"/>
          <w:numId w:val="9"/>
        </w:numPr>
        <w:tabs>
          <w:tab w:val="left" w:pos="420"/>
          <w:tab w:val="clear" w:pos="840"/>
        </w:tabs>
        <w:spacing w:after="0" w:line="360" w:lineRule="auto"/>
        <w:jc w:val="both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二级页表条目的物理地址PUDIndex[47:0] = {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eastAsia="宋体" w:cs="Times New Roman"/>
          <w:sz w:val="28"/>
          <w:szCs w:val="28"/>
        </w:rPr>
        <w:t xml:space="preserve">PUDBase[47:13], 13b’0} + { 35b’0, 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UBA</w:t>
      </w:r>
      <w:r>
        <w:rPr>
          <w:rFonts w:ascii="Times New Roman" w:hAnsi="Times New Roman" w:eastAsia="宋体" w:cs="Times New Roman"/>
          <w:sz w:val="28"/>
          <w:szCs w:val="28"/>
        </w:rPr>
        <w:t>[42:33], 3b’0};</w:t>
      </w:r>
    </w:p>
    <w:p w14:paraId="3A277DD0">
      <w:pPr>
        <w:numPr>
          <w:ilvl w:val="0"/>
          <w:numId w:val="9"/>
        </w:numPr>
        <w:tabs>
          <w:tab w:val="left" w:pos="420"/>
          <w:tab w:val="clear" w:pos="840"/>
        </w:tabs>
        <w:spacing w:after="0" w:line="360" w:lineRule="auto"/>
        <w:jc w:val="both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访问Home侧本地存储空间，读出PUDIndex[47:0]地址中存放的二级页表条目，进行有效位判断后，将其中的PFN作为三级页表起始物理地址PMDBase[47:13]；</w:t>
      </w:r>
    </w:p>
    <w:p w14:paraId="181265B6">
      <w:pPr>
        <w:numPr>
          <w:ilvl w:val="0"/>
          <w:numId w:val="9"/>
        </w:numPr>
        <w:tabs>
          <w:tab w:val="left" w:pos="420"/>
          <w:tab w:val="clear" w:pos="840"/>
        </w:tabs>
        <w:spacing w:after="0" w:line="360" w:lineRule="auto"/>
        <w:jc w:val="both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三级页表条目的物理地址PMDIndex[47:0] = {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eastAsia="宋体" w:cs="Times New Roman"/>
          <w:sz w:val="28"/>
          <w:szCs w:val="28"/>
        </w:rPr>
        <w:t xml:space="preserve">PMDDBase[47:13], 13b’0} + { 35b’0, 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UBA</w:t>
      </w:r>
      <w:r>
        <w:rPr>
          <w:rFonts w:ascii="Times New Roman" w:hAnsi="Times New Roman" w:eastAsia="宋体" w:cs="Times New Roman"/>
          <w:sz w:val="28"/>
          <w:szCs w:val="28"/>
        </w:rPr>
        <w:t>[32:23], 3b’0};</w:t>
      </w:r>
    </w:p>
    <w:p w14:paraId="14D4C618">
      <w:pPr>
        <w:numPr>
          <w:ilvl w:val="0"/>
          <w:numId w:val="9"/>
        </w:numPr>
        <w:tabs>
          <w:tab w:val="left" w:pos="420"/>
          <w:tab w:val="clear" w:pos="840"/>
        </w:tabs>
        <w:spacing w:after="0" w:line="360" w:lineRule="auto"/>
        <w:jc w:val="both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访问Home侧本地存储空间，读出PMDIndex[47:0]地址中存放的三级页表条目，进行有效位判断后，将其中的PFN作为四级页表起始物理地址PTEBase[47:13]；</w:t>
      </w:r>
    </w:p>
    <w:p w14:paraId="41C04B6E">
      <w:pPr>
        <w:numPr>
          <w:ilvl w:val="0"/>
          <w:numId w:val="9"/>
        </w:numPr>
        <w:tabs>
          <w:tab w:val="left" w:pos="420"/>
          <w:tab w:val="clear" w:pos="840"/>
        </w:tabs>
        <w:spacing w:after="0" w:line="360" w:lineRule="auto"/>
        <w:jc w:val="both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四级页表条目的物理地址PTEIndex[47:0] = {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eastAsia="宋体" w:cs="Times New Roman"/>
          <w:sz w:val="28"/>
          <w:szCs w:val="28"/>
        </w:rPr>
        <w:t xml:space="preserve">PTEDBase[47:13], 13b’0} + { 35b’0, 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UBA</w:t>
      </w:r>
      <w:r>
        <w:rPr>
          <w:rFonts w:ascii="Times New Roman" w:hAnsi="Times New Roman" w:eastAsia="宋体" w:cs="Times New Roman"/>
          <w:sz w:val="28"/>
          <w:szCs w:val="28"/>
        </w:rPr>
        <w:t>[22:13], 3b’0};</w:t>
      </w:r>
    </w:p>
    <w:p w14:paraId="091A8418">
      <w:pPr>
        <w:numPr>
          <w:ilvl w:val="0"/>
          <w:numId w:val="9"/>
        </w:numPr>
        <w:tabs>
          <w:tab w:val="left" w:pos="420"/>
          <w:tab w:val="clear" w:pos="840"/>
        </w:tabs>
        <w:spacing w:after="0" w:line="360" w:lineRule="auto"/>
        <w:jc w:val="both"/>
        <w:rPr>
          <w:rFonts w:ascii="Times New Roman" w:hAnsi="Times New Roman" w:eastAsia="宋体" w:cs="Times New Roman"/>
          <w:i/>
          <w:iCs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访问Home侧本地存储空间，读出PTEIndex[47:0]地址中存放的四级页表条目，进行有效位判断后，再进行权限检查，若无异常产生，则</w:t>
      </w:r>
      <w:r>
        <w:rPr>
          <w:rFonts w:ascii="Times New Roman" w:hAnsi="Times New Roman" w:eastAsia="宋体" w:cs="Times New Roman"/>
          <w:color w:val="auto"/>
          <w:sz w:val="28"/>
          <w:szCs w:val="28"/>
        </w:rPr>
        <w:t>将其中的PFN[47:13]作为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UBA</w:t>
      </w:r>
      <w:r>
        <w:rPr>
          <w:rFonts w:ascii="Times New Roman" w:hAnsi="Times New Roman" w:eastAsia="宋体" w:cs="Times New Roman"/>
          <w:color w:val="auto"/>
          <w:sz w:val="28"/>
          <w:szCs w:val="28"/>
        </w:rPr>
        <w:t>对应的H_PA[47:13]，得到物理地址</w:t>
      </w:r>
      <w:r>
        <w:rPr>
          <w:rFonts w:ascii="Times New Roman" w:hAnsi="Times New Roman" w:eastAsia="宋体" w:cs="Times New Roman"/>
          <w:b/>
          <w:bCs/>
          <w:color w:val="auto"/>
          <w:sz w:val="28"/>
          <w:szCs w:val="28"/>
          <w:highlight w:val="none"/>
        </w:rPr>
        <w:t xml:space="preserve">H_PA[47:0] = { PFN[47:13], </w:t>
      </w:r>
      <w:r>
        <w:rPr>
          <w:rFonts w:hint="eastAsia" w:ascii="Times New Roman" w:hAnsi="Times New Roman" w:eastAsia="宋体" w:cs="Times New Roman"/>
          <w:b/>
          <w:bCs/>
          <w:sz w:val="28"/>
          <w:szCs w:val="28"/>
          <w:highlight w:val="none"/>
          <w:lang w:val="en-US" w:eastAsia="zh-CN"/>
        </w:rPr>
        <w:t>UBA</w:t>
      </w:r>
      <w:r>
        <w:rPr>
          <w:rFonts w:ascii="Times New Roman" w:hAnsi="Times New Roman" w:eastAsia="宋体" w:cs="Times New Roman"/>
          <w:b/>
          <w:bCs/>
          <w:color w:val="auto"/>
          <w:sz w:val="28"/>
          <w:szCs w:val="28"/>
          <w:highlight w:val="none"/>
        </w:rPr>
        <w:t>[12:0]}</w:t>
      </w:r>
      <w:r>
        <w:rPr>
          <w:rFonts w:ascii="Times New Roman" w:hAnsi="Times New Roman" w:eastAsia="宋体" w:cs="Times New Roman"/>
          <w:color w:val="auto"/>
          <w:sz w:val="28"/>
          <w:szCs w:val="28"/>
        </w:rPr>
        <w:t>，结束代换流程。</w:t>
      </w:r>
    </w:p>
    <w:p w14:paraId="594A4AFC">
      <w:pPr>
        <w:spacing w:after="0" w:line="360" w:lineRule="auto"/>
        <w:ind w:firstLine="560" w:firstLineChars="200"/>
        <w:jc w:val="both"/>
        <w:rPr>
          <w:rFonts w:ascii="Times New Roman" w:hAnsi="Times New Roman" w:eastAsia="宋体" w:cs="Times New Roman"/>
          <w:i/>
          <w:iCs/>
          <w:sz w:val="28"/>
          <w:szCs w:val="28"/>
        </w:rPr>
      </w:pPr>
      <w:r>
        <w:rPr>
          <w:rFonts w:ascii="Times New Roman" w:hAnsi="Times New Roman" w:eastAsia="宋体" w:cs="Times New Roman"/>
          <w:i/>
          <w:iCs/>
          <w:sz w:val="28"/>
          <w:szCs w:val="28"/>
        </w:rPr>
        <w:t>注：硬件</w:t>
      </w:r>
      <w:r>
        <w:rPr>
          <w:rFonts w:ascii="Times New Roman" w:hAnsi="Times New Roman" w:eastAsia="宋体" w:cs="Times New Roman"/>
          <w:sz w:val="28"/>
          <w:szCs w:val="28"/>
        </w:rPr>
        <w:t>Pagewalk</w:t>
      </w:r>
      <w:r>
        <w:rPr>
          <w:rFonts w:ascii="Times New Roman" w:hAnsi="Times New Roman" w:eastAsia="宋体" w:cs="Times New Roman"/>
          <w:i/>
          <w:iCs/>
          <w:sz w:val="28"/>
          <w:szCs w:val="28"/>
        </w:rPr>
        <w:t>过程中，对于超过8KB粒度的大页，不需要访问到最后一级页表即可获得最终的代换地址。</w:t>
      </w:r>
    </w:p>
    <w:p w14:paraId="122B7D37">
      <w:pPr>
        <w:pStyle w:val="48"/>
      </w:pPr>
      <w:r>
        <w:t>SMMU代换快表（SMTLB）</w:t>
      </w:r>
    </w:p>
    <w:p w14:paraId="296F6E64">
      <w:pPr>
        <w:spacing w:after="0" w:line="360" w:lineRule="auto"/>
        <w:ind w:firstLine="560" w:firstLineChars="200"/>
        <w:jc w:val="both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硬件设置SMMU的代换快表（SMMU TLB，SMTLB）缓存结构，存储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UBA</w:t>
      </w:r>
      <w:r>
        <w:rPr>
          <w:rFonts w:ascii="Times New Roman" w:hAnsi="Times New Roman" w:eastAsia="宋体" w:cs="Times New Roman"/>
          <w:sz w:val="28"/>
          <w:szCs w:val="28"/>
        </w:rPr>
        <w:t>→PA的映射关系</w:t>
      </w:r>
      <w:r>
        <w:rPr>
          <w:rFonts w:hint="eastAsia" w:ascii="Times New Roman" w:hAnsi="Times New Roman" w:eastAsia="宋体" w:cs="Times New Roman"/>
          <w:sz w:val="28"/>
          <w:szCs w:val="28"/>
          <w:highlight w:val="yellow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8"/>
          <w:szCs w:val="28"/>
          <w:highlight w:val="yellow"/>
          <w:lang w:val="en-US" w:eastAsia="zh-CN"/>
        </w:rPr>
        <w:t>快表中要存储TokenID</w:t>
      </w:r>
      <w:r>
        <w:rPr>
          <w:rFonts w:hint="eastAsia" w:ascii="Times New Roman" w:hAnsi="Times New Roman" w:eastAsia="宋体" w:cs="Times New Roman"/>
          <w:sz w:val="28"/>
          <w:szCs w:val="28"/>
          <w:highlight w:val="yellow"/>
          <w:lang w:eastAsia="zh-CN"/>
        </w:rPr>
        <w:t>）</w:t>
      </w:r>
      <w:r>
        <w:rPr>
          <w:rFonts w:ascii="Times New Roman" w:hAnsi="Times New Roman" w:eastAsia="宋体" w:cs="Times New Roman"/>
          <w:sz w:val="28"/>
          <w:szCs w:val="28"/>
        </w:rPr>
        <w:t>。SMTLB采用两级结构，一级采用全相联的组织结构，共设置128个条目；二级采用组相联结构，共设置1024个条目。</w:t>
      </w:r>
    </w:p>
    <w:p w14:paraId="32EAA9C7">
      <w:pPr>
        <w:spacing w:after="0" w:line="360" w:lineRule="auto"/>
        <w:jc w:val="center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表7：SMMU代换快表（SMTLB）结构</w:t>
      </w: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6"/>
        <w:gridCol w:w="1920"/>
        <w:gridCol w:w="1701"/>
        <w:gridCol w:w="3267"/>
      </w:tblGrid>
      <w:tr w14:paraId="6AADE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4" w:type="dxa"/>
            <w:gridSpan w:val="2"/>
          </w:tcPr>
          <w:p w14:paraId="6F7FFAA7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域名</w:t>
            </w:r>
          </w:p>
        </w:tc>
        <w:tc>
          <w:tcPr>
            <w:tcW w:w="1701" w:type="dxa"/>
          </w:tcPr>
          <w:p w14:paraId="1BBFBDD3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范围（</w:t>
            </w:r>
            <w:r>
              <w:rPr>
                <w:rFonts w:ascii="Times New Roman" w:hAnsi="Times New Roman" w:eastAsia="宋体" w:cs="Times New Roman"/>
                <w:i/>
                <w:iCs/>
                <w:sz w:val="21"/>
                <w:szCs w:val="21"/>
              </w:rPr>
              <w:t>共75位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）</w:t>
            </w:r>
          </w:p>
        </w:tc>
        <w:tc>
          <w:tcPr>
            <w:tcW w:w="3267" w:type="dxa"/>
          </w:tcPr>
          <w:p w14:paraId="25E20386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含义描述</w:t>
            </w:r>
          </w:p>
        </w:tc>
      </w:tr>
      <w:tr w14:paraId="18286F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6" w:type="dxa"/>
            <w:vMerge w:val="restart"/>
          </w:tcPr>
          <w:p w14:paraId="2C176A8A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Tag</w:t>
            </w:r>
          </w:p>
        </w:tc>
        <w:tc>
          <w:tcPr>
            <w:tcW w:w="1738" w:type="dxa"/>
          </w:tcPr>
          <w:p w14:paraId="195F01F5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UBA_BASE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[47:13]</w:t>
            </w:r>
          </w:p>
        </w:tc>
        <w:tc>
          <w:tcPr>
            <w:tcW w:w="1701" w:type="dxa"/>
          </w:tcPr>
          <w:p w14:paraId="6CDAD4F7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35位</w:t>
            </w:r>
          </w:p>
        </w:tc>
        <w:tc>
          <w:tcPr>
            <w:tcW w:w="3267" w:type="dxa"/>
          </w:tcPr>
          <w:p w14:paraId="2228F414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UBA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基址</w:t>
            </w:r>
          </w:p>
        </w:tc>
      </w:tr>
      <w:tr w14:paraId="3EAF8E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6" w:type="dxa"/>
            <w:vMerge w:val="continue"/>
          </w:tcPr>
          <w:p w14:paraId="0837D9E8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1738" w:type="dxa"/>
          </w:tcPr>
          <w:p w14:paraId="61AF4809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  <w:highlight w:val="yellow"/>
              </w:rPr>
              <w:t>TokenID[9:0]</w:t>
            </w:r>
          </w:p>
        </w:tc>
        <w:tc>
          <w:tcPr>
            <w:tcW w:w="1701" w:type="dxa"/>
          </w:tcPr>
          <w:p w14:paraId="1C6B684C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i/>
                <w:iCs/>
                <w:sz w:val="21"/>
                <w:szCs w:val="21"/>
                <w:highlight w:val="yellow"/>
              </w:rPr>
              <w:t>10位？</w:t>
            </w:r>
          </w:p>
        </w:tc>
        <w:tc>
          <w:tcPr>
            <w:tcW w:w="3267" w:type="dxa"/>
          </w:tcPr>
          <w:p w14:paraId="5F8CFC15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  <w:highlight w:val="yellow"/>
              </w:rPr>
              <w:t>查找上下文使用</w:t>
            </w:r>
          </w:p>
        </w:tc>
      </w:tr>
      <w:tr w14:paraId="13C39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6" w:type="dxa"/>
            <w:vMerge w:val="continue"/>
          </w:tcPr>
          <w:p w14:paraId="625A5D3D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1738" w:type="dxa"/>
          </w:tcPr>
          <w:p w14:paraId="3FB7E951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Grn[1:0]</w:t>
            </w:r>
          </w:p>
        </w:tc>
        <w:tc>
          <w:tcPr>
            <w:tcW w:w="1701" w:type="dxa"/>
          </w:tcPr>
          <w:p w14:paraId="0D7EA172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[2:1]</w:t>
            </w:r>
          </w:p>
        </w:tc>
        <w:tc>
          <w:tcPr>
            <w:tcW w:w="3267" w:type="dxa"/>
          </w:tcPr>
          <w:p w14:paraId="4E043DCC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粒度指示</w:t>
            </w:r>
          </w:p>
        </w:tc>
      </w:tr>
      <w:tr w14:paraId="55BA0A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6" w:type="dxa"/>
            <w:vMerge w:val="continue"/>
          </w:tcPr>
          <w:p w14:paraId="523014B2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1738" w:type="dxa"/>
          </w:tcPr>
          <w:p w14:paraId="1996E328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Valid</w:t>
            </w:r>
          </w:p>
        </w:tc>
        <w:tc>
          <w:tcPr>
            <w:tcW w:w="1701" w:type="dxa"/>
          </w:tcPr>
          <w:p w14:paraId="4C953DFD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[0]</w:t>
            </w:r>
          </w:p>
        </w:tc>
        <w:tc>
          <w:tcPr>
            <w:tcW w:w="3267" w:type="dxa"/>
          </w:tcPr>
          <w:p w14:paraId="1477DF31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有效位</w:t>
            </w:r>
          </w:p>
        </w:tc>
      </w:tr>
      <w:tr w14:paraId="15F94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6" w:type="dxa"/>
            <w:vMerge w:val="restart"/>
          </w:tcPr>
          <w:p w14:paraId="5D3E516A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Data</w:t>
            </w:r>
          </w:p>
        </w:tc>
        <w:tc>
          <w:tcPr>
            <w:tcW w:w="1738" w:type="dxa"/>
          </w:tcPr>
          <w:p w14:paraId="3AC626A6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H_PA[47:13]</w:t>
            </w:r>
          </w:p>
        </w:tc>
        <w:tc>
          <w:tcPr>
            <w:tcW w:w="1701" w:type="dxa"/>
          </w:tcPr>
          <w:p w14:paraId="5EC591A8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i/>
                <w:iCs/>
                <w:sz w:val="21"/>
                <w:szCs w:val="21"/>
              </w:rPr>
              <w:t>35位</w:t>
            </w:r>
          </w:p>
        </w:tc>
        <w:tc>
          <w:tcPr>
            <w:tcW w:w="3267" w:type="dxa"/>
          </w:tcPr>
          <w:p w14:paraId="5C71D4B0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Home侧导出内存的本地物理地址页面基址</w:t>
            </w:r>
          </w:p>
        </w:tc>
      </w:tr>
      <w:tr w14:paraId="1E40E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6" w:type="dxa"/>
            <w:vMerge w:val="continue"/>
          </w:tcPr>
          <w:p w14:paraId="278143CD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1738" w:type="dxa"/>
          </w:tcPr>
          <w:p w14:paraId="2512E08A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  <w:highlight w:val="yellow"/>
              </w:rPr>
              <w:t>FOW</w:t>
            </w:r>
          </w:p>
        </w:tc>
        <w:tc>
          <w:tcPr>
            <w:tcW w:w="1701" w:type="dxa"/>
          </w:tcPr>
          <w:p w14:paraId="603CC6E4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i/>
                <w:i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  <w:highlight w:val="yellow"/>
              </w:rPr>
              <w:t>[2]</w:t>
            </w:r>
          </w:p>
        </w:tc>
        <w:tc>
          <w:tcPr>
            <w:tcW w:w="3267" w:type="dxa"/>
          </w:tcPr>
          <w:p w14:paraId="16A6F63B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  <w:highlight w:val="yellow"/>
              </w:rPr>
              <w:t>写故障位，为1表示空间不可写</w:t>
            </w:r>
          </w:p>
        </w:tc>
      </w:tr>
      <w:tr w14:paraId="6C7169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6" w:type="dxa"/>
            <w:vMerge w:val="continue"/>
          </w:tcPr>
          <w:p w14:paraId="0EADC268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1738" w:type="dxa"/>
          </w:tcPr>
          <w:p w14:paraId="3B07BC84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  <w:highlight w:val="yellow"/>
              </w:rPr>
              <w:t>FOR</w:t>
            </w:r>
          </w:p>
        </w:tc>
        <w:tc>
          <w:tcPr>
            <w:tcW w:w="1701" w:type="dxa"/>
          </w:tcPr>
          <w:p w14:paraId="32D7D84A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i/>
                <w:i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  <w:highlight w:val="yellow"/>
              </w:rPr>
              <w:t>[1]</w:t>
            </w:r>
          </w:p>
        </w:tc>
        <w:tc>
          <w:tcPr>
            <w:tcW w:w="3267" w:type="dxa"/>
          </w:tcPr>
          <w:p w14:paraId="1D915B89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  <w:highlight w:val="yellow"/>
              </w:rPr>
              <w:t>读故障位，为1表示空间不可读</w:t>
            </w:r>
          </w:p>
        </w:tc>
      </w:tr>
      <w:tr w14:paraId="516E8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6" w:type="dxa"/>
            <w:vMerge w:val="continue"/>
          </w:tcPr>
          <w:p w14:paraId="17C09614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  <w:highlight w:val="yellow"/>
              </w:rPr>
            </w:pPr>
          </w:p>
        </w:tc>
        <w:tc>
          <w:tcPr>
            <w:tcW w:w="1738" w:type="dxa"/>
          </w:tcPr>
          <w:p w14:paraId="524A2FC4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  <w:highlight w:val="yellow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Grn[1:0]</w:t>
            </w:r>
          </w:p>
        </w:tc>
        <w:tc>
          <w:tcPr>
            <w:tcW w:w="1701" w:type="dxa"/>
          </w:tcPr>
          <w:p w14:paraId="03175C61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[1:0]</w:t>
            </w:r>
          </w:p>
        </w:tc>
        <w:tc>
          <w:tcPr>
            <w:tcW w:w="3267" w:type="dxa"/>
          </w:tcPr>
          <w:p w14:paraId="323FB77A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粒度指示</w:t>
            </w:r>
          </w:p>
        </w:tc>
      </w:tr>
    </w:tbl>
    <w:p w14:paraId="1917B30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3BAF6B">
      <w:pPr>
        <w:pStyle w:val="45"/>
      </w:pPr>
      <w:r>
        <w:t>软件接口</w:t>
      </w:r>
    </w:p>
    <w:p w14:paraId="186FDF4D">
      <w:pPr>
        <w:pStyle w:val="46"/>
      </w:pPr>
      <w:r>
        <w:t>软硬件约定</w:t>
      </w:r>
    </w:p>
    <w:p w14:paraId="11A82DAE">
      <w:pPr>
        <w:numPr>
          <w:ilvl w:val="0"/>
          <w:numId w:val="10"/>
        </w:numPr>
        <w:spacing w:after="0" w:line="360" w:lineRule="auto"/>
        <w:ind w:left="845" w:leftChars="0" w:hanging="425" w:firstLineChars="0"/>
        <w:jc w:val="both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关于SMD三元组：</w:t>
      </w:r>
      <w:r>
        <w:rPr>
          <w:rFonts w:hint="eastAsia" w:ascii="Times New Roman" w:hAnsi="Times New Roman" w:eastAsia="宋体" w:cs="Times New Roman"/>
          <w:sz w:val="28"/>
          <w:szCs w:val="28"/>
        </w:rPr>
        <w:t>EID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只用于SWLink网络路由，不用于地址代换。TokenID等同于逻辑池的概念，一个逻辑池使用相同的TokenID，相同逻辑池中不同Home导出的UBA连续（且TokenID相同）。Home导出时以哪个UBA地址对外可见由上层管理服务指定。</w:t>
      </w:r>
    </w:p>
    <w:p w14:paraId="5CD5D06B">
      <w:pPr>
        <w:numPr>
          <w:ilvl w:val="0"/>
          <w:numId w:val="10"/>
        </w:numPr>
        <w:spacing w:after="0" w:line="360" w:lineRule="auto"/>
        <w:ind w:left="845" w:leftChars="0" w:hanging="425" w:firstLineChars="0"/>
        <w:jc w:val="both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SDecoder使用两级代换表结构（段页混合式）。一级条目使用段式映射，最大32GB（必须按照1GB对界）。二级条目使用页式映射，固定1GB</w:t>
      </w:r>
      <w:r>
        <w:rPr>
          <w:rFonts w:hint="eastAsia" w:ascii="Times New Roman" w:hAnsi="Times New Roman" w:eastAsia="宋体" w:cs="Times New Roman"/>
          <w:sz w:val="28"/>
          <w:szCs w:val="28"/>
          <w:lang w:eastAsia="zh-CN"/>
        </w:rPr>
        <w:t>（</w:t>
      </w:r>
      <w:r>
        <w:rPr>
          <w:rFonts w:ascii="Times New Roman" w:hAnsi="Times New Roman" w:eastAsia="宋体" w:cs="Times New Roman"/>
          <w:sz w:val="28"/>
          <w:szCs w:val="28"/>
        </w:rPr>
        <w:t>该1GB空间一定是来自某一个Home，且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UBA</w:t>
      </w:r>
      <w:r>
        <w:rPr>
          <w:rFonts w:ascii="Times New Roman" w:hAnsi="Times New Roman" w:eastAsia="宋体" w:cs="Times New Roman"/>
          <w:sz w:val="28"/>
          <w:szCs w:val="28"/>
        </w:rPr>
        <w:t>连续</w:t>
      </w:r>
      <w:r>
        <w:rPr>
          <w:rFonts w:hint="eastAsia" w:ascii="Times New Roman" w:hAnsi="Times New Roman" w:eastAsia="宋体" w:cs="Times New Roman"/>
          <w:sz w:val="28"/>
          <w:szCs w:val="28"/>
          <w:lang w:eastAsia="zh-CN"/>
        </w:rPr>
        <w:t>）</w:t>
      </w:r>
      <w:r>
        <w:rPr>
          <w:rFonts w:ascii="Times New Roman" w:hAnsi="Times New Roman" w:eastAsia="宋体" w:cs="Times New Roman"/>
          <w:sz w:val="28"/>
          <w:szCs w:val="28"/>
        </w:rPr>
        <w:t>。</w:t>
      </w:r>
    </w:p>
    <w:p w14:paraId="6ADF16B0">
      <w:pPr>
        <w:numPr>
          <w:ilvl w:val="0"/>
          <w:numId w:val="10"/>
        </w:numPr>
        <w:spacing w:after="0" w:line="360" w:lineRule="auto"/>
        <w:ind w:left="845" w:leftChars="0" w:hanging="425" w:firstLineChars="0"/>
        <w:jc w:val="both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SMMU支持TokenID，但不支持二阶代换（不支持虚拟化）。Target Context Table（TCT）用于存放上下文信息</w:t>
      </w:r>
      <w:r>
        <w:rPr>
          <w:rFonts w:hint="eastAsia" w:ascii="Times New Roman" w:hAnsi="Times New Roman" w:eastAsia="宋体" w:cs="Times New Roman"/>
          <w:sz w:val="28"/>
          <w:szCs w:val="28"/>
          <w:lang w:eastAsia="zh-CN"/>
        </w:rPr>
        <w:t>。</w:t>
      </w:r>
      <w:r>
        <w:rPr>
          <w:rFonts w:ascii="Times New Roman" w:hAnsi="Times New Roman" w:eastAsia="宋体" w:cs="Times New Roman"/>
          <w:sz w:val="28"/>
          <w:szCs w:val="28"/>
        </w:rPr>
        <w:t>TCT基址（TCT_Base）和TCT表类型（TCT_Type）由软件填写</w:t>
      </w:r>
      <w:r>
        <w:rPr>
          <w:rFonts w:hint="eastAsia" w:ascii="Times New Roman" w:hAnsi="Times New Roman" w:eastAsia="宋体" w:cs="Times New Roman"/>
          <w:sz w:val="28"/>
          <w:szCs w:val="28"/>
          <w:highlight w:val="yellow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8"/>
          <w:szCs w:val="28"/>
          <w:highlight w:val="yellow"/>
          <w:lang w:val="en-US" w:eastAsia="zh-CN"/>
        </w:rPr>
        <w:t>是否同时支持线性和二级表两种结构待定</w:t>
      </w:r>
      <w:r>
        <w:rPr>
          <w:rFonts w:hint="eastAsia" w:ascii="Times New Roman" w:hAnsi="Times New Roman" w:eastAsia="宋体" w:cs="Times New Roman"/>
          <w:sz w:val="28"/>
          <w:szCs w:val="28"/>
          <w:highlight w:val="yellow"/>
          <w:lang w:eastAsia="zh-CN"/>
        </w:rPr>
        <w:t>）</w:t>
      </w:r>
      <w:r>
        <w:rPr>
          <w:rFonts w:ascii="Times New Roman" w:hAnsi="Times New Roman" w:eastAsia="宋体" w:cs="Times New Roman"/>
          <w:sz w:val="28"/>
          <w:szCs w:val="28"/>
        </w:rPr>
        <w:t>。</w:t>
      </w:r>
      <w:r>
        <w:rPr>
          <w:rFonts w:hint="eastAsia" w:ascii="Times New Roman" w:hAnsi="Times New Roman" w:eastAsia="宋体" w:cs="Times New Roman"/>
          <w:sz w:val="28"/>
          <w:szCs w:val="28"/>
        </w:rPr>
        <w:t>SMMU地址代换首先根据TCT表基址、TCT表类型和TokenID，得到对应的TCT条目</w:t>
      </w:r>
      <w:r>
        <w:rPr>
          <w:rFonts w:hint="eastAsia" w:ascii="Times New Roman" w:hAnsi="Times New Roman" w:eastAsia="宋体" w:cs="Times New Roman"/>
          <w:sz w:val="28"/>
          <w:szCs w:val="28"/>
          <w:lang w:eastAsia="zh-CN"/>
        </w:rPr>
        <w:t>。</w:t>
      </w:r>
    </w:p>
    <w:p w14:paraId="286ECC3B">
      <w:pPr>
        <w:numPr>
          <w:ilvl w:val="0"/>
          <w:numId w:val="10"/>
        </w:numPr>
        <w:spacing w:after="0" w:line="360" w:lineRule="auto"/>
        <w:ind w:left="845" w:leftChars="0" w:hanging="425" w:firstLineChars="0"/>
        <w:jc w:val="both"/>
        <w:rPr>
          <w:rFonts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TCT条目内容包括页</w:t>
      </w:r>
      <w:r>
        <w:rPr>
          <w:rFonts w:ascii="Times New Roman" w:hAnsi="Times New Roman" w:eastAsia="宋体" w:cs="Times New Roman"/>
          <w:sz w:val="28"/>
          <w:szCs w:val="28"/>
        </w:rPr>
        <w:t>表基址（PTBR）、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页</w:t>
      </w:r>
      <w:r>
        <w:rPr>
          <w:rFonts w:ascii="Times New Roman" w:hAnsi="Times New Roman" w:eastAsia="宋体" w:cs="Times New Roman"/>
          <w:sz w:val="28"/>
          <w:szCs w:val="28"/>
        </w:rPr>
        <w:t>表类型（PTType）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和UBA基址（UBA_BASE），软件在建立地址代换表时要与该TCT条目中的配置信息一致。页</w:t>
      </w:r>
      <w:r>
        <w:rPr>
          <w:rFonts w:ascii="Times New Roman" w:hAnsi="Times New Roman" w:eastAsia="宋体" w:cs="Times New Roman"/>
          <w:sz w:val="28"/>
          <w:szCs w:val="28"/>
        </w:rPr>
        <w:t>表类型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用于指定所建立页表是几级表结构，页表基址用于指定本页表结构的基地址，</w:t>
      </w:r>
      <w:r>
        <w:rPr>
          <w:rFonts w:hint="eastAsia" w:ascii="Times New Roman" w:hAnsi="Times New Roman" w:eastAsia="宋体" w:cs="Times New Roman"/>
          <w:sz w:val="28"/>
          <w:szCs w:val="28"/>
          <w:highlight w:val="yellow"/>
          <w:lang w:val="en-US" w:eastAsia="zh-CN"/>
        </w:rPr>
        <w:t>UBA基址用于生成最终参与地址的UBA（三元组中的UBA减去UBA基址）（该功能是否需要待确定）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。</w:t>
      </w:r>
    </w:p>
    <w:p w14:paraId="3D710E33">
      <w:pPr>
        <w:numPr>
          <w:ilvl w:val="0"/>
          <w:numId w:val="10"/>
        </w:numPr>
        <w:spacing w:after="0" w:line="360" w:lineRule="auto"/>
        <w:ind w:left="845" w:leftChars="0" w:hanging="425" w:firstLineChars="0"/>
        <w:jc w:val="both"/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要求SDecoder两级代换表和SMMU页表必须本地化存储（本地DDR/HBM），而非存储于远程的、被借用的池化资源上，从而避免读取代换表的操作引起远程内存访问。</w:t>
      </w:r>
    </w:p>
    <w:p w14:paraId="1686A03E">
      <w:pPr>
        <w:numPr>
          <w:ilvl w:val="0"/>
          <w:numId w:val="10"/>
        </w:numPr>
        <w:spacing w:after="0" w:line="360" w:lineRule="auto"/>
        <w:ind w:left="845" w:leftChars="0" w:hanging="425" w:firstLineChars="0"/>
        <w:jc w:val="both"/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不支持SDecoder和SMMU硬件代换快表条目的软件装填。</w:t>
      </w:r>
    </w:p>
    <w:p w14:paraId="3207358B">
      <w:pPr>
        <w:numPr>
          <w:ilvl w:val="0"/>
          <w:numId w:val="10"/>
        </w:numPr>
        <w:spacing w:after="0" w:line="360" w:lineRule="auto"/>
        <w:ind w:left="845" w:leftChars="0" w:hanging="425" w:firstLineChars="0"/>
        <w:jc w:val="both"/>
        <w:rPr>
          <w:rFonts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SMMU仅支持读写权限检查（FOR/FOW），无需支持执行、不可Cache、驻留、（FOE/PCD/Fixed）等权限检查；如有需要，可支持不可合并（WCD）权限检查。</w:t>
      </w:r>
    </w:p>
    <w:p w14:paraId="78565107">
      <w:pPr>
        <w:pStyle w:val="46"/>
      </w:pPr>
      <w:r>
        <w:t>软硬件接口</w:t>
      </w:r>
    </w:p>
    <w:p w14:paraId="36581EFA">
      <w:pPr>
        <w:spacing w:after="0" w:line="360" w:lineRule="auto"/>
        <w:ind w:firstLine="560" w:firstLineChars="200"/>
        <w:jc w:val="both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代换基址、软件刷新、异常处理的软硬件接口，如下所述。</w:t>
      </w:r>
    </w:p>
    <w:p w14:paraId="30FF9059">
      <w:pPr>
        <w:pStyle w:val="48"/>
      </w:pPr>
      <w:r>
        <w:t>代换基址</w:t>
      </w:r>
    </w:p>
    <w:p w14:paraId="2B09BEE2">
      <w:pPr>
        <w:spacing w:after="0" w:line="360" w:lineRule="auto"/>
        <w:ind w:firstLine="560" w:firstLineChars="200"/>
        <w:jc w:val="both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SDecoder一级表（L1 SDecoder Table，SDT_L1）本身的基地址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SDT_L1_BASE</w:t>
      </w:r>
      <w:r>
        <w:rPr>
          <w:rFonts w:ascii="Times New Roman" w:hAnsi="Times New Roman" w:eastAsia="宋体" w:cs="Times New Roman"/>
          <w:sz w:val="28"/>
          <w:szCs w:val="28"/>
        </w:rPr>
        <w:t>（PA[47:4]）需由软件填写，硬件在代换过程中使用。需设置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IOR</w:t>
      </w:r>
      <w:r>
        <w:rPr>
          <w:rFonts w:ascii="Times New Roman" w:hAnsi="Times New Roman" w:eastAsia="宋体" w:cs="Times New Roman"/>
          <w:sz w:val="28"/>
          <w:szCs w:val="28"/>
        </w:rPr>
        <w:t>：SDecoder_PTBR，用于表示SDecoder一级表基地址寄存器。</w:t>
      </w:r>
    </w:p>
    <w:p w14:paraId="78A361D8">
      <w:pPr>
        <w:spacing w:after="0" w:line="360" w:lineRule="auto"/>
        <w:ind w:firstLine="560" w:firstLineChars="200"/>
        <w:jc w:val="both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SMMU代换的TCT基址TCT_Base（PA[47:3]）和TCT表类型TCT_Type</w:t>
      </w:r>
      <w:r>
        <w:rPr>
          <w:rFonts w:hint="eastAsia" w:ascii="Times New Roman" w:hAnsi="Times New Roman" w:eastAsia="宋体" w:cs="Times New Roman"/>
          <w:sz w:val="28"/>
          <w:szCs w:val="28"/>
        </w:rPr>
        <w:t>（</w:t>
      </w:r>
      <w:r>
        <w:rPr>
          <w:rFonts w:hint="eastAsia" w:ascii="Times New Roman" w:hAnsi="Times New Roman" w:eastAsia="宋体" w:cs="Times New Roman"/>
          <w:sz w:val="28"/>
          <w:szCs w:val="28"/>
          <w:highlight w:val="yellow"/>
        </w:rPr>
        <w:t>是否需要</w:t>
      </w:r>
      <w:r>
        <w:rPr>
          <w:rFonts w:hint="eastAsia" w:ascii="Times New Roman" w:hAnsi="Times New Roman" w:eastAsia="宋体" w:cs="Times New Roman"/>
          <w:sz w:val="28"/>
          <w:szCs w:val="28"/>
          <w:highlight w:val="yellow"/>
          <w:lang w:val="en-US" w:eastAsia="zh-CN"/>
        </w:rPr>
        <w:t>待定</w:t>
      </w:r>
      <w:r>
        <w:rPr>
          <w:rFonts w:hint="eastAsia" w:ascii="Times New Roman" w:hAnsi="Times New Roman" w:eastAsia="宋体" w:cs="Times New Roman"/>
          <w:sz w:val="28"/>
          <w:szCs w:val="28"/>
        </w:rPr>
        <w:t>）</w:t>
      </w:r>
      <w:r>
        <w:rPr>
          <w:rFonts w:ascii="Times New Roman" w:hAnsi="Times New Roman" w:eastAsia="宋体" w:cs="Times New Roman"/>
          <w:sz w:val="28"/>
          <w:szCs w:val="28"/>
        </w:rPr>
        <w:t>需由软件填写。需设置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IOR</w:t>
      </w:r>
      <w:r>
        <w:rPr>
          <w:rFonts w:ascii="Times New Roman" w:hAnsi="Times New Roman" w:eastAsia="宋体" w:cs="Times New Roman"/>
          <w:sz w:val="28"/>
          <w:szCs w:val="28"/>
        </w:rPr>
        <w:t>：SMMU_TCTInfo，用于表示SMMU代换TCT基址及表类型寄存器。</w:t>
      </w:r>
    </w:p>
    <w:p w14:paraId="6D9F1A0A">
      <w:pPr>
        <w:pStyle w:val="48"/>
      </w:pPr>
      <w:r>
        <w:t>软件刷新</w:t>
      </w:r>
    </w:p>
    <w:p w14:paraId="24EE9A57">
      <w:pPr>
        <w:spacing w:after="0" w:line="360" w:lineRule="auto"/>
        <w:ind w:firstLine="560" w:firstLineChars="200"/>
        <w:jc w:val="both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软件可以通过写相关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IOR</w:t>
      </w:r>
      <w:r>
        <w:rPr>
          <w:rFonts w:ascii="Times New Roman" w:hAnsi="Times New Roman" w:eastAsia="宋体" w:cs="Times New Roman"/>
          <w:sz w:val="28"/>
          <w:szCs w:val="28"/>
        </w:rPr>
        <w:t>寄存器，对SDecoder或SMMU硬件代换快表条目进行置无效。</w:t>
      </w:r>
    </w:p>
    <w:p w14:paraId="27EEE337">
      <w:pPr>
        <w:spacing w:after="0" w:line="360" w:lineRule="auto"/>
        <w:ind w:firstLine="560" w:firstLineChars="200"/>
        <w:jc w:val="both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置无效SDecoder</w:t>
      </w:r>
      <w:r>
        <w:rPr>
          <w:rFonts w:hint="eastAsia" w:ascii="Times New Roman" w:hAnsi="Times New Roman" w:eastAsia="宋体" w:cs="Times New Roman"/>
          <w:sz w:val="28"/>
          <w:szCs w:val="28"/>
          <w:highlight w:val="yellow"/>
        </w:rPr>
        <w:t>快表</w:t>
      </w:r>
      <w:r>
        <w:rPr>
          <w:rFonts w:ascii="Times New Roman" w:hAnsi="Times New Roman" w:eastAsia="宋体" w:cs="Times New Roman"/>
          <w:sz w:val="28"/>
          <w:szCs w:val="28"/>
        </w:rPr>
        <w:t>条目的方式包括以下</w:t>
      </w:r>
      <w:r>
        <w:rPr>
          <w:rFonts w:hint="eastAsia" w:ascii="Times New Roman" w:hAnsi="Times New Roman" w:eastAsia="宋体" w:cs="Times New Roman"/>
          <w:color w:val="EE0000"/>
          <w:sz w:val="28"/>
          <w:szCs w:val="28"/>
        </w:rPr>
        <w:t>两</w:t>
      </w:r>
      <w:r>
        <w:rPr>
          <w:rFonts w:ascii="Times New Roman" w:hAnsi="Times New Roman" w:eastAsia="宋体" w:cs="Times New Roman"/>
          <w:color w:val="EE0000"/>
          <w:sz w:val="28"/>
          <w:szCs w:val="28"/>
        </w:rPr>
        <w:t>种</w:t>
      </w:r>
      <w:r>
        <w:rPr>
          <w:rFonts w:ascii="Times New Roman" w:hAnsi="Times New Roman" w:eastAsia="宋体" w:cs="Times New Roman"/>
          <w:sz w:val="28"/>
          <w:szCs w:val="28"/>
        </w:rPr>
        <w:t>：</w:t>
      </w:r>
    </w:p>
    <w:p w14:paraId="60C840A7">
      <w:pPr>
        <w:pStyle w:val="35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写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IOR</w:t>
      </w:r>
      <w:r>
        <w:rPr>
          <w:rFonts w:ascii="Times New Roman" w:hAnsi="Times New Roman" w:eastAsia="宋体" w:cs="Times New Roman"/>
          <w:sz w:val="28"/>
          <w:szCs w:val="28"/>
        </w:rPr>
        <w:t>寄存器SDecoder_IA：置无效全部SDecoder条目；</w:t>
      </w:r>
    </w:p>
    <w:p w14:paraId="188B28F5">
      <w:pPr>
        <w:pStyle w:val="35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写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IOR</w:t>
      </w:r>
      <w:r>
        <w:rPr>
          <w:rFonts w:ascii="Times New Roman" w:hAnsi="Times New Roman" w:eastAsia="宋体" w:cs="Times New Roman"/>
          <w:sz w:val="28"/>
          <w:szCs w:val="28"/>
        </w:rPr>
        <w:t>寄存器SDecoder_IS：置无效指定U_PA地址的某个SDecoder条目。</w:t>
      </w:r>
    </w:p>
    <w:p w14:paraId="57A629AC">
      <w:pPr>
        <w:spacing w:after="0" w:line="360" w:lineRule="auto"/>
        <w:ind w:firstLine="560" w:firstLineChars="200"/>
        <w:jc w:val="both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类似的，置无效SMMU</w:t>
      </w:r>
      <w:r>
        <w:rPr>
          <w:rFonts w:hint="eastAsia" w:ascii="Times New Roman" w:hAnsi="Times New Roman" w:eastAsia="宋体" w:cs="Times New Roman"/>
          <w:sz w:val="28"/>
          <w:szCs w:val="28"/>
          <w:highlight w:val="yellow"/>
        </w:rPr>
        <w:t>快表</w:t>
      </w:r>
      <w:r>
        <w:rPr>
          <w:rFonts w:ascii="Times New Roman" w:hAnsi="Times New Roman" w:eastAsia="宋体" w:cs="Times New Roman"/>
          <w:sz w:val="28"/>
          <w:szCs w:val="28"/>
        </w:rPr>
        <w:t>条目的方式包括以下</w:t>
      </w:r>
      <w:r>
        <w:rPr>
          <w:rFonts w:hint="eastAsia" w:ascii="Times New Roman" w:hAnsi="Times New Roman" w:eastAsia="宋体" w:cs="Times New Roman"/>
          <w:color w:val="EE0000"/>
          <w:sz w:val="28"/>
          <w:szCs w:val="28"/>
        </w:rPr>
        <w:t>三</w:t>
      </w:r>
      <w:r>
        <w:rPr>
          <w:rFonts w:ascii="Times New Roman" w:hAnsi="Times New Roman" w:eastAsia="宋体" w:cs="Times New Roman"/>
          <w:color w:val="EE0000"/>
          <w:sz w:val="28"/>
          <w:szCs w:val="28"/>
        </w:rPr>
        <w:t>种</w:t>
      </w:r>
      <w:r>
        <w:rPr>
          <w:rFonts w:ascii="Times New Roman" w:hAnsi="Times New Roman" w:eastAsia="宋体" w:cs="Times New Roman"/>
          <w:sz w:val="28"/>
          <w:szCs w:val="28"/>
        </w:rPr>
        <w:t>：</w:t>
      </w:r>
    </w:p>
    <w:p w14:paraId="369AB5AF">
      <w:pPr>
        <w:pStyle w:val="35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写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IOR</w:t>
      </w:r>
      <w:r>
        <w:rPr>
          <w:rFonts w:ascii="Times New Roman" w:hAnsi="Times New Roman" w:eastAsia="宋体" w:cs="Times New Roman"/>
          <w:sz w:val="28"/>
          <w:szCs w:val="28"/>
        </w:rPr>
        <w:t>寄存器SMMU_IA：置无效全部SMMU条目；</w:t>
      </w:r>
    </w:p>
    <w:p w14:paraId="69A1240C">
      <w:pPr>
        <w:pStyle w:val="35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写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IOR</w:t>
      </w:r>
      <w:r>
        <w:rPr>
          <w:rFonts w:ascii="Times New Roman" w:hAnsi="Times New Roman" w:eastAsia="宋体" w:cs="Times New Roman"/>
          <w:sz w:val="28"/>
          <w:szCs w:val="28"/>
        </w:rPr>
        <w:t>寄存器SMMU_IT：置无效指定TokenID的全部SDecoder条目；</w:t>
      </w:r>
    </w:p>
    <w:p w14:paraId="651D507E">
      <w:pPr>
        <w:pStyle w:val="35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写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IOR</w:t>
      </w:r>
      <w:r>
        <w:rPr>
          <w:rFonts w:ascii="Times New Roman" w:hAnsi="Times New Roman" w:eastAsia="宋体" w:cs="Times New Roman"/>
          <w:sz w:val="28"/>
          <w:szCs w:val="28"/>
        </w:rPr>
        <w:t>寄存器SMMU_IS：置无效指定TokenID指定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UBA</w:t>
      </w:r>
      <w:r>
        <w:rPr>
          <w:rFonts w:ascii="Times New Roman" w:hAnsi="Times New Roman" w:eastAsia="宋体" w:cs="Times New Roman"/>
          <w:sz w:val="28"/>
          <w:szCs w:val="28"/>
        </w:rPr>
        <w:t>地址的某个SMMU条目。</w:t>
      </w:r>
    </w:p>
    <w:p w14:paraId="3C7383F9">
      <w:pPr>
        <w:spacing w:after="0" w:line="360" w:lineRule="auto"/>
        <w:ind w:firstLine="560" w:firstLineChars="200"/>
        <w:jc w:val="both"/>
        <w:rPr>
          <w:rFonts w:hint="eastAsia" w:ascii="华文仿宋" w:hAnsi="华文仿宋" w:eastAsia="华文仿宋" w:cs="Times New Roman"/>
          <w:sz w:val="28"/>
          <w:szCs w:val="28"/>
        </w:rPr>
      </w:pPr>
      <w:r>
        <w:rPr>
          <w:rFonts w:hint="eastAsia" w:ascii="华文仿宋" w:hAnsi="华文仿宋" w:eastAsia="华文仿宋" w:cs="Times New Roman"/>
          <w:sz w:val="28"/>
          <w:szCs w:val="28"/>
        </w:rPr>
        <w:t>注</w:t>
      </w:r>
      <w:r>
        <w:rPr>
          <w:rFonts w:ascii="华文仿宋" w:hAnsi="华文仿宋" w:eastAsia="华文仿宋" w:cs="Times New Roman"/>
          <w:sz w:val="28"/>
          <w:szCs w:val="28"/>
        </w:rPr>
        <w:t>1</w:t>
      </w:r>
      <w:r>
        <w:rPr>
          <w:rFonts w:hint="eastAsia" w:ascii="华文仿宋" w:hAnsi="华文仿宋" w:eastAsia="华文仿宋" w:cs="Times New Roman"/>
          <w:sz w:val="28"/>
          <w:szCs w:val="28"/>
        </w:rPr>
        <w:t>：如果</w:t>
      </w:r>
      <w:r>
        <w:rPr>
          <w:rFonts w:ascii="华文仿宋" w:hAnsi="华文仿宋" w:eastAsia="华文仿宋" w:cs="Times New Roman"/>
          <w:sz w:val="28"/>
          <w:szCs w:val="28"/>
        </w:rPr>
        <w:t>SMMU</w:t>
      </w:r>
      <w:r>
        <w:rPr>
          <w:rFonts w:hint="eastAsia" w:ascii="华文仿宋" w:hAnsi="华文仿宋" w:eastAsia="华文仿宋" w:cs="Times New Roman"/>
          <w:sz w:val="28"/>
          <w:szCs w:val="28"/>
        </w:rPr>
        <w:t>含</w:t>
      </w:r>
      <w:r>
        <w:rPr>
          <w:rFonts w:ascii="华文仿宋" w:hAnsi="华文仿宋" w:eastAsia="华文仿宋" w:cs="Times New Roman"/>
          <w:sz w:val="28"/>
          <w:szCs w:val="28"/>
        </w:rPr>
        <w:t>PSC</w:t>
      </w:r>
      <w:r>
        <w:rPr>
          <w:rFonts w:hint="eastAsia" w:ascii="华文仿宋" w:hAnsi="华文仿宋" w:eastAsia="华文仿宋" w:cs="Times New Roman"/>
          <w:sz w:val="28"/>
          <w:szCs w:val="28"/>
        </w:rPr>
        <w:t>结构，则执行</w:t>
      </w:r>
      <w:r>
        <w:rPr>
          <w:rFonts w:ascii="华文仿宋" w:hAnsi="华文仿宋" w:eastAsia="华文仿宋" w:cs="Times New Roman"/>
          <w:sz w:val="28"/>
          <w:szCs w:val="28"/>
        </w:rPr>
        <w:t>SMMU_IA</w:t>
      </w:r>
      <w:r>
        <w:rPr>
          <w:rFonts w:hint="eastAsia" w:ascii="华文仿宋" w:hAnsi="华文仿宋" w:eastAsia="华文仿宋" w:cs="Times New Roman"/>
          <w:sz w:val="28"/>
          <w:szCs w:val="28"/>
        </w:rPr>
        <w:t>操作时，硬件会自动刷新</w:t>
      </w:r>
      <w:r>
        <w:rPr>
          <w:rFonts w:ascii="华文仿宋" w:hAnsi="华文仿宋" w:eastAsia="华文仿宋" w:cs="Times New Roman"/>
          <w:sz w:val="28"/>
          <w:szCs w:val="28"/>
        </w:rPr>
        <w:t>PSC</w:t>
      </w:r>
      <w:r>
        <w:rPr>
          <w:rFonts w:hint="eastAsia" w:ascii="华文仿宋" w:hAnsi="华文仿宋" w:eastAsia="华文仿宋" w:cs="Times New Roman"/>
          <w:sz w:val="28"/>
          <w:szCs w:val="28"/>
        </w:rPr>
        <w:t>；</w:t>
      </w:r>
    </w:p>
    <w:p w14:paraId="2858809C">
      <w:pPr>
        <w:spacing w:after="0" w:line="360" w:lineRule="auto"/>
        <w:ind w:firstLine="560" w:firstLineChars="200"/>
        <w:jc w:val="both"/>
        <w:rPr>
          <w:rFonts w:ascii="Times New Roman" w:hAnsi="Times New Roman" w:eastAsia="宋体" w:cs="Times New Roman"/>
          <w:sz w:val="28"/>
          <w:szCs w:val="28"/>
        </w:rPr>
      </w:pPr>
      <w:r>
        <w:rPr>
          <w:rFonts w:hint="eastAsia" w:ascii="华文仿宋" w:hAnsi="华文仿宋" w:eastAsia="华文仿宋" w:cs="Times New Roman"/>
          <w:sz w:val="28"/>
          <w:szCs w:val="28"/>
        </w:rPr>
        <w:t>注2：SDecoder</w:t>
      </w:r>
      <w:r>
        <w:rPr>
          <w:rFonts w:hint="eastAsia" w:ascii="华文仿宋" w:hAnsi="华文仿宋" w:eastAsia="华文仿宋" w:cs="Times New Roman"/>
          <w:sz w:val="28"/>
          <w:szCs w:val="28"/>
          <w:lang w:val="en-US" w:eastAsia="zh-CN"/>
        </w:rPr>
        <w:t>快表和</w:t>
      </w:r>
      <w:r>
        <w:rPr>
          <w:rFonts w:hint="eastAsia" w:ascii="华文仿宋" w:hAnsi="华文仿宋" w:eastAsia="华文仿宋" w:cs="Times New Roman"/>
          <w:sz w:val="28"/>
          <w:szCs w:val="28"/>
        </w:rPr>
        <w:t>SMMU</w:t>
      </w:r>
      <w:r>
        <w:rPr>
          <w:rFonts w:hint="eastAsia" w:ascii="华文仿宋" w:hAnsi="华文仿宋" w:eastAsia="华文仿宋" w:cs="Times New Roman"/>
          <w:sz w:val="28"/>
          <w:szCs w:val="28"/>
          <w:lang w:val="en-US" w:eastAsia="zh-CN"/>
        </w:rPr>
        <w:t>快表集成在SWlink中。C1和A3芯片集成多个SWLink，软件刷新时需要针对多个SWLink中的快表进行刷新。</w:t>
      </w:r>
    </w:p>
    <w:p w14:paraId="592784B0">
      <w:pPr>
        <w:pStyle w:val="48"/>
      </w:pPr>
      <w:r>
        <w:t>异常处理</w:t>
      </w:r>
      <w:r>
        <w:rPr>
          <w:rFonts w:hint="eastAsia"/>
        </w:rPr>
        <w:t>（待进一步研究细化）</w:t>
      </w:r>
    </w:p>
    <w:p w14:paraId="132E05A6">
      <w:pPr>
        <w:spacing w:after="0" w:line="360" w:lineRule="auto"/>
        <w:ind w:firstLine="560" w:firstLineChars="200"/>
        <w:jc w:val="both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可能会出现以下几种异常类型</w:t>
      </w:r>
      <w:r>
        <w:rPr>
          <w:rFonts w:hint="eastAsia" w:ascii="Times New Roman" w:hAnsi="Times New Roman" w:eastAsia="宋体" w:cs="Times New Roman"/>
          <w:sz w:val="28"/>
          <w:szCs w:val="28"/>
        </w:rPr>
        <w:t>（</w:t>
      </w:r>
      <w:r>
        <w:rPr>
          <w:rFonts w:hint="eastAsia" w:ascii="Times New Roman" w:hAnsi="Times New Roman" w:eastAsia="宋体" w:cs="Times New Roman"/>
          <w:sz w:val="28"/>
          <w:szCs w:val="28"/>
          <w:highlight w:val="yellow"/>
        </w:rPr>
        <w:t>相比当前核心的软硬件接口，不增加新的异常入口或</w:t>
      </w:r>
      <w:r>
        <w:rPr>
          <w:rFonts w:ascii="Times New Roman" w:hAnsi="Times New Roman" w:eastAsia="宋体" w:cs="Times New Roman"/>
          <w:sz w:val="28"/>
          <w:szCs w:val="28"/>
          <w:highlight w:val="yellow"/>
        </w:rPr>
        <w:t>CSR</w:t>
      </w:r>
      <w:r>
        <w:rPr>
          <w:rFonts w:hint="eastAsia" w:ascii="Times New Roman" w:hAnsi="Times New Roman" w:eastAsia="宋体" w:cs="Times New Roman"/>
          <w:sz w:val="28"/>
          <w:szCs w:val="28"/>
          <w:highlight w:val="yellow"/>
        </w:rPr>
        <w:t>寄存器</w:t>
      </w:r>
      <w:r>
        <w:rPr>
          <w:rFonts w:hint="eastAsia" w:ascii="Times New Roman" w:hAnsi="Times New Roman" w:eastAsia="宋体" w:cs="Times New Roman"/>
          <w:sz w:val="28"/>
          <w:szCs w:val="28"/>
        </w:rPr>
        <w:t>）</w:t>
      </w:r>
      <w:r>
        <w:rPr>
          <w:rFonts w:ascii="Times New Roman" w:hAnsi="Times New Roman" w:eastAsia="宋体" w:cs="Times New Roman"/>
          <w:sz w:val="28"/>
          <w:szCs w:val="28"/>
        </w:rPr>
        <w:t>：</w:t>
      </w:r>
    </w:p>
    <w:p w14:paraId="012F1AFE">
      <w:pPr>
        <w:spacing w:after="0" w:line="360" w:lineRule="auto"/>
        <w:ind w:firstLine="562" w:firstLineChars="200"/>
        <w:jc w:val="both"/>
        <w:rPr>
          <w:rFonts w:hint="default" w:ascii="Times New Roman" w:hAnsi="Times New Roman" w:eastAsia="宋体" w:cs="Times New Roman"/>
          <w:b/>
          <w:bCs/>
          <w:color w:val="FF0000"/>
          <w:sz w:val="28"/>
          <w:szCs w:val="28"/>
          <w:highlight w:val="yellow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color w:val="FF0000"/>
          <w:sz w:val="28"/>
          <w:szCs w:val="28"/>
          <w:highlight w:val="yellow"/>
          <w:lang w:val="en-US" w:eastAsia="zh-CN"/>
        </w:rPr>
        <w:t>待进一步梳理：报给user还是home？当A3作为home时，异常是报个该A3还是同逻辑节点的C1？</w:t>
      </w:r>
    </w:p>
    <w:p w14:paraId="303E902D">
      <w:pPr>
        <w:pStyle w:val="35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SDecoder或SMMU的硬件代换快表命中，但权限检查发现</w:t>
      </w:r>
      <w:r>
        <w:rPr>
          <w:rFonts w:ascii="Times New Roman" w:hAnsi="Times New Roman" w:eastAsia="宋体" w:cs="Times New Roman"/>
          <w:color w:val="EE0000"/>
          <w:sz w:val="28"/>
          <w:szCs w:val="28"/>
        </w:rPr>
        <w:t>权限异常（FOR/FOW为1）</w:t>
      </w:r>
      <w:r>
        <w:rPr>
          <w:rFonts w:ascii="Times New Roman" w:hAnsi="Times New Roman" w:eastAsia="宋体" w:cs="Times New Roman"/>
          <w:sz w:val="28"/>
          <w:szCs w:val="28"/>
        </w:rPr>
        <w:t>：报读写权限异常，</w:t>
      </w:r>
      <w:r>
        <w:rPr>
          <w:rFonts w:hint="eastAsia" w:ascii="Times New Roman" w:hAnsi="Times New Roman" w:eastAsia="宋体" w:cs="Times New Roman"/>
          <w:b/>
          <w:bCs/>
          <w:sz w:val="28"/>
          <w:szCs w:val="28"/>
        </w:rPr>
        <w:t>报</w:t>
      </w:r>
      <w:r>
        <w:rPr>
          <w:rFonts w:ascii="Times New Roman" w:hAnsi="Times New Roman" w:eastAsia="宋体" w:cs="Times New Roman"/>
          <w:b/>
          <w:bCs/>
          <w:sz w:val="28"/>
          <w:szCs w:val="28"/>
        </w:rPr>
        <w:t>DFault</w:t>
      </w:r>
      <w:r>
        <w:rPr>
          <w:rFonts w:hint="eastAsia" w:ascii="Times New Roman" w:hAnsi="Times New Roman" w:eastAsia="宋体" w:cs="Times New Roman"/>
          <w:b/>
          <w:bCs/>
          <w:sz w:val="28"/>
          <w:szCs w:val="28"/>
        </w:rPr>
        <w:t>异常</w:t>
      </w:r>
      <w:r>
        <w:rPr>
          <w:rFonts w:hint="eastAsia" w:ascii="Times New Roman" w:hAnsi="Times New Roman" w:eastAsia="宋体" w:cs="Times New Roman"/>
          <w:sz w:val="28"/>
          <w:szCs w:val="28"/>
        </w:rPr>
        <w:t>（注：SDecoder表不需要设置权限位）</w:t>
      </w:r>
      <w:r>
        <w:rPr>
          <w:rFonts w:ascii="Times New Roman" w:hAnsi="Times New Roman" w:eastAsia="宋体" w:cs="Times New Roman"/>
          <w:sz w:val="28"/>
          <w:szCs w:val="28"/>
        </w:rPr>
        <w:t>，登记相关CSR。</w:t>
      </w:r>
    </w:p>
    <w:p w14:paraId="4080AE4B">
      <w:pPr>
        <w:pStyle w:val="35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SDecoder或SMMU的硬件代换快表不命中，在代换表遍历过程中，发生</w:t>
      </w:r>
      <w:r>
        <w:rPr>
          <w:rFonts w:ascii="Times New Roman" w:hAnsi="Times New Roman" w:eastAsia="宋体" w:cs="Times New Roman"/>
          <w:color w:val="EE0000"/>
          <w:sz w:val="28"/>
          <w:szCs w:val="28"/>
        </w:rPr>
        <w:t>控制错或ECC校验多错</w:t>
      </w:r>
      <w:r>
        <w:rPr>
          <w:rFonts w:ascii="Times New Roman" w:hAnsi="Times New Roman" w:eastAsia="宋体" w:cs="Times New Roman"/>
          <w:sz w:val="28"/>
          <w:szCs w:val="28"/>
        </w:rPr>
        <w:t>：报机器检查错，</w:t>
      </w:r>
      <w:r>
        <w:rPr>
          <w:rFonts w:hint="eastAsia" w:ascii="Times New Roman" w:hAnsi="Times New Roman" w:eastAsia="宋体" w:cs="Times New Roman"/>
          <w:b/>
          <w:bCs/>
          <w:sz w:val="28"/>
          <w:szCs w:val="28"/>
        </w:rPr>
        <w:t>报</w:t>
      </w:r>
      <w:r>
        <w:rPr>
          <w:rFonts w:ascii="Times New Roman" w:hAnsi="Times New Roman" w:eastAsia="宋体" w:cs="Times New Roman"/>
          <w:b/>
          <w:bCs/>
          <w:sz w:val="28"/>
          <w:szCs w:val="28"/>
        </w:rPr>
        <w:t>MCHK</w:t>
      </w:r>
      <w:r>
        <w:rPr>
          <w:rFonts w:hint="eastAsia" w:ascii="Times New Roman" w:hAnsi="Times New Roman" w:eastAsia="宋体" w:cs="Times New Roman"/>
          <w:b/>
          <w:bCs/>
          <w:sz w:val="28"/>
          <w:szCs w:val="28"/>
        </w:rPr>
        <w:t>故障</w:t>
      </w:r>
      <w:r>
        <w:rPr>
          <w:rFonts w:ascii="Times New Roman" w:hAnsi="Times New Roman" w:eastAsia="宋体" w:cs="Times New Roman"/>
          <w:sz w:val="28"/>
          <w:szCs w:val="28"/>
        </w:rPr>
        <w:t>，登记相关CSR。</w:t>
      </w:r>
    </w:p>
    <w:p w14:paraId="3C47754C">
      <w:pPr>
        <w:pStyle w:val="35"/>
        <w:numPr>
          <w:ilvl w:val="1"/>
          <w:numId w:val="13"/>
        </w:numPr>
        <w:spacing w:after="0" w:line="360" w:lineRule="auto"/>
        <w:jc w:val="both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S</w:t>
      </w:r>
      <w:r>
        <w:rPr>
          <w:rFonts w:hint="eastAsia" w:ascii="Times New Roman" w:hAnsi="Times New Roman" w:eastAsia="宋体" w:cs="Times New Roman"/>
          <w:sz w:val="28"/>
          <w:szCs w:val="28"/>
        </w:rPr>
        <w:t>MMU故障时，向home报非精确MCHK，向user报地址非法</w:t>
      </w:r>
      <w:r>
        <w:rPr>
          <w:rFonts w:hint="eastAsia" w:ascii="Times New Roman" w:hAnsi="Times New Roman" w:eastAsia="宋体" w:cs="Times New Roman"/>
          <w:i/>
          <w:iCs/>
          <w:sz w:val="28"/>
          <w:szCs w:val="28"/>
          <w:highlight w:val="yellow"/>
        </w:rPr>
        <w:t>（待进一步考虑）</w:t>
      </w:r>
      <w:r>
        <w:rPr>
          <w:rFonts w:hint="eastAsia" w:ascii="Times New Roman" w:hAnsi="Times New Roman" w:eastAsia="宋体" w:cs="Times New Roman"/>
          <w:sz w:val="28"/>
          <w:szCs w:val="28"/>
        </w:rPr>
        <w:t>；</w:t>
      </w:r>
    </w:p>
    <w:p w14:paraId="0B5882AA">
      <w:pPr>
        <w:pStyle w:val="35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SDecoder或SMMU的硬件代换快表不命中，在代换表遍历过程中，发生</w:t>
      </w:r>
      <w:r>
        <w:rPr>
          <w:rFonts w:ascii="Times New Roman" w:hAnsi="Times New Roman" w:eastAsia="宋体" w:cs="Times New Roman"/>
          <w:color w:val="EE0000"/>
          <w:sz w:val="28"/>
          <w:szCs w:val="28"/>
        </w:rPr>
        <w:t>地址越界</w:t>
      </w:r>
      <w:r>
        <w:rPr>
          <w:rFonts w:ascii="Times New Roman" w:hAnsi="Times New Roman" w:eastAsia="宋体" w:cs="Times New Roman"/>
          <w:sz w:val="28"/>
          <w:szCs w:val="28"/>
        </w:rPr>
        <w:t>：</w:t>
      </w:r>
      <w:r>
        <w:rPr>
          <w:rFonts w:hint="eastAsia" w:ascii="Times New Roman" w:hAnsi="Times New Roman" w:eastAsia="宋体" w:cs="Times New Roman"/>
          <w:b/>
          <w:bCs/>
          <w:sz w:val="28"/>
          <w:szCs w:val="28"/>
        </w:rPr>
        <w:t>报地址非法异常</w:t>
      </w:r>
      <w:r>
        <w:rPr>
          <w:rFonts w:ascii="Times New Roman" w:hAnsi="Times New Roman" w:eastAsia="宋体" w:cs="Times New Roman"/>
          <w:sz w:val="28"/>
          <w:szCs w:val="28"/>
        </w:rPr>
        <w:t>。</w:t>
      </w:r>
    </w:p>
    <w:p w14:paraId="7626AEED">
      <w:pPr>
        <w:pStyle w:val="35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SDecoder或SMMU的硬件代换快表不命中，在代换表遍历过程中，发现代换表</w:t>
      </w:r>
      <w:r>
        <w:rPr>
          <w:rFonts w:ascii="Times New Roman" w:hAnsi="Times New Roman" w:eastAsia="宋体" w:cs="Times New Roman"/>
          <w:color w:val="EE0000"/>
          <w:sz w:val="28"/>
          <w:szCs w:val="28"/>
        </w:rPr>
        <w:t>条目无效</w:t>
      </w:r>
      <w:r>
        <w:rPr>
          <w:rFonts w:ascii="Times New Roman" w:hAnsi="Times New Roman" w:eastAsia="宋体" w:cs="Times New Roman"/>
          <w:sz w:val="28"/>
          <w:szCs w:val="28"/>
        </w:rPr>
        <w:t>：</w:t>
      </w:r>
      <w:r>
        <w:rPr>
          <w:rFonts w:hint="eastAsia" w:ascii="Times New Roman" w:hAnsi="Times New Roman" w:eastAsia="宋体" w:cs="Times New Roman"/>
          <w:b/>
          <w:bCs/>
          <w:sz w:val="28"/>
          <w:szCs w:val="28"/>
        </w:rPr>
        <w:t>报地址非法异常</w:t>
      </w:r>
      <w:r>
        <w:rPr>
          <w:rFonts w:ascii="Times New Roman" w:hAnsi="Times New Roman" w:eastAsia="宋体" w:cs="Times New Roman"/>
          <w:sz w:val="28"/>
          <w:szCs w:val="28"/>
        </w:rPr>
        <w:t>。</w:t>
      </w:r>
    </w:p>
    <w:p w14:paraId="585020EA">
      <w:pPr>
        <w:pStyle w:val="35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SDecoder或SMMU的硬件代换快表不命中，在代换表遍历过程中，发现代换表</w:t>
      </w:r>
      <w:r>
        <w:rPr>
          <w:rFonts w:ascii="Times New Roman" w:hAnsi="Times New Roman" w:eastAsia="宋体" w:cs="Times New Roman"/>
          <w:color w:val="EE0000"/>
          <w:sz w:val="28"/>
          <w:szCs w:val="28"/>
        </w:rPr>
        <w:t>权限异常（FOR/FOW为1）</w:t>
      </w:r>
      <w:r>
        <w:rPr>
          <w:rFonts w:ascii="Times New Roman" w:hAnsi="Times New Roman" w:eastAsia="宋体" w:cs="Times New Roman"/>
          <w:sz w:val="28"/>
          <w:szCs w:val="28"/>
        </w:rPr>
        <w:t>：报读写权限异常，</w:t>
      </w:r>
      <w:r>
        <w:rPr>
          <w:rFonts w:hint="eastAsia" w:ascii="Times New Roman" w:hAnsi="Times New Roman" w:eastAsia="宋体" w:cs="Times New Roman"/>
          <w:b/>
          <w:bCs/>
          <w:sz w:val="28"/>
          <w:szCs w:val="28"/>
        </w:rPr>
        <w:t>报</w:t>
      </w:r>
      <w:r>
        <w:rPr>
          <w:rFonts w:ascii="Times New Roman" w:hAnsi="Times New Roman" w:eastAsia="宋体" w:cs="Times New Roman"/>
          <w:b/>
          <w:bCs/>
          <w:sz w:val="28"/>
          <w:szCs w:val="28"/>
        </w:rPr>
        <w:t>DFault</w:t>
      </w:r>
      <w:r>
        <w:rPr>
          <w:rFonts w:hint="eastAsia" w:ascii="Times New Roman" w:hAnsi="Times New Roman" w:eastAsia="宋体" w:cs="Times New Roman"/>
          <w:b/>
          <w:bCs/>
          <w:sz w:val="28"/>
          <w:szCs w:val="28"/>
        </w:rPr>
        <w:t>异常</w:t>
      </w:r>
      <w:r>
        <w:rPr>
          <w:rFonts w:ascii="Times New Roman" w:hAnsi="Times New Roman" w:eastAsia="宋体" w:cs="Times New Roman"/>
          <w:sz w:val="28"/>
          <w:szCs w:val="28"/>
        </w:rPr>
        <w:t>，登记相关CSR。</w:t>
      </w:r>
    </w:p>
    <w:p w14:paraId="734A40F3">
      <w:pPr>
        <w:pStyle w:val="35"/>
        <w:numPr>
          <w:numId w:val="0"/>
        </w:numPr>
        <w:spacing w:after="0" w:line="360" w:lineRule="auto"/>
        <w:ind w:left="560" w:leftChars="0"/>
        <w:jc w:val="both"/>
        <w:rPr>
          <w:rFonts w:ascii="Times New Roman" w:hAnsi="Times New Roman" w:cs="Times New Roman"/>
          <w:sz w:val="28"/>
          <w:szCs w:val="28"/>
        </w:rPr>
      </w:pPr>
    </w:p>
    <w:p w14:paraId="56FEFE27">
      <w:pPr>
        <w:pStyle w:val="45"/>
      </w:pPr>
      <w:r>
        <w:rPr>
          <w:rFonts w:hint="eastAsia"/>
          <w:lang w:val="en-US" w:eastAsia="zh-CN"/>
        </w:rPr>
        <w:t>SOC集成使用</w:t>
      </w:r>
    </w:p>
    <w:p w14:paraId="43EB825A">
      <w:pPr>
        <w:pStyle w:val="35"/>
        <w:numPr>
          <w:numId w:val="0"/>
        </w:numPr>
        <w:spacing w:after="0" w:line="360" w:lineRule="auto"/>
        <w:ind w:firstLine="420" w:firstLineChars="0"/>
        <w:jc w:val="both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SDecoder和SMMU将以IP的形式提供，包括代码和手册（功能介绍、接口定义、代换流程和软件接口）。</w:t>
      </w:r>
    </w:p>
    <w:p w14:paraId="6D2CD1DC">
      <w:pPr>
        <w:pStyle w:val="35"/>
        <w:numPr>
          <w:ilvl w:val="0"/>
          <w:numId w:val="14"/>
        </w:numPr>
        <w:spacing w:after="0" w:line="360" w:lineRule="auto"/>
        <w:ind w:left="-120" w:leftChars="0" w:firstLine="420" w:firstLineChars="0"/>
        <w:jc w:val="both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C1和A3芯片的SWLINK需集成SDecoder和SMMU。SDecoder用于user侧（Load/Store、iDMA）完成物理地址到三元组的代换。SMMU用于home侧完成三元组（TokenID和UBA）到物理地址的代换。</w:t>
      </w:r>
    </w:p>
    <w:p w14:paraId="04D86FB6">
      <w:pPr>
        <w:pStyle w:val="35"/>
        <w:numPr>
          <w:ilvl w:val="0"/>
          <w:numId w:val="14"/>
        </w:numPr>
        <w:spacing w:after="0" w:line="360" w:lineRule="auto"/>
        <w:ind w:left="-120" w:leftChars="0" w:firstLine="420" w:firstLineChars="0"/>
        <w:jc w:val="both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SWLINK中的SMMU还用于完成XMA引擎本地地址（虚地址）到物理地址的代换。</w:t>
      </w:r>
    </w:p>
    <w:p w14:paraId="0BE9AEB8">
      <w:pPr>
        <w:pStyle w:val="35"/>
        <w:numPr>
          <w:ilvl w:val="0"/>
          <w:numId w:val="14"/>
        </w:numPr>
        <w:spacing w:after="0" w:line="360" w:lineRule="auto"/>
        <w:ind w:left="-120" w:leftChars="0" w:firstLine="42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ICore出口处虚地址到物理地址的代换（ICore核心MMU）可考虑复用SMMU</w:t>
      </w:r>
      <w:r>
        <w:rPr>
          <w:rFonts w:hint="eastAsia" w:ascii="Times New Roman" w:hAnsi="Times New Roman" w:cs="Times New Roman"/>
          <w:sz w:val="28"/>
          <w:szCs w:val="28"/>
          <w:highlight w:val="yellow"/>
          <w:lang w:val="en-US" w:eastAsia="zh-CN"/>
        </w:rPr>
        <w:t>（具体待交流。初步认为可行：基于TokenID得到页表基址，根据虚地址VA默认按四级表结构完成代换）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。</w:t>
      </w:r>
    </w:p>
    <w:p w14:paraId="3E49C12B">
      <w:pPr>
        <w:pStyle w:val="35"/>
        <w:numPr>
          <w:numId w:val="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14:paraId="150B915E">
      <w:pPr>
        <w:pStyle w:val="2"/>
        <w:numPr>
          <w:ilvl w:val="0"/>
          <w:numId w:val="0"/>
        </w:numPr>
        <w:ind w:left="432" w:hanging="432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修订记录</w:t>
      </w:r>
    </w:p>
    <w:p w14:paraId="77D48D40">
      <w:pPr>
        <w:spacing w:after="0" w:line="360" w:lineRule="auto"/>
        <w:ind w:firstLine="560" w:firstLineChars="200"/>
        <w:jc w:val="both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外网略。</w:t>
      </w:r>
    </w:p>
    <w:p w14:paraId="303BC2BE">
      <w:pPr>
        <w:spacing w:line="360" w:lineRule="auto"/>
        <w:ind w:firstLine="560" w:firstLineChars="200"/>
        <w:jc w:val="both"/>
        <w:rPr>
          <w:rFonts w:ascii="Times New Roman" w:hAnsi="Times New Roman" w:eastAsia="宋体" w:cs="Times New Roman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E0F8E0E"/>
    <w:multiLevelType w:val="singleLevel"/>
    <w:tmpl w:val="AE0F8E0E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">
    <w:nsid w:val="BA33E693"/>
    <w:multiLevelType w:val="multilevel"/>
    <w:tmpl w:val="BA33E693"/>
    <w:lvl w:ilvl="0" w:tentative="0">
      <w:start w:val="1"/>
      <w:numFmt w:val="lowerLetter"/>
      <w:lvlText w:val="%1."/>
      <w:lvlJc w:val="left"/>
      <w:pPr>
        <w:tabs>
          <w:tab w:val="left" w:pos="840"/>
        </w:tabs>
        <w:ind w:left="1265" w:hanging="425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1260"/>
        </w:tabs>
        <w:ind w:left="1680" w:hanging="42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680"/>
        </w:tabs>
        <w:ind w:left="2100" w:hanging="42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520" w:hanging="42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940" w:hanging="42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940"/>
        </w:tabs>
        <w:ind w:left="3360" w:hanging="42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780" w:hanging="42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4200" w:hanging="42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4200"/>
        </w:tabs>
        <w:ind w:left="4620" w:hanging="420"/>
      </w:pPr>
      <w:rPr>
        <w:rFonts w:hint="default"/>
      </w:rPr>
    </w:lvl>
  </w:abstractNum>
  <w:abstractNum w:abstractNumId="2">
    <w:nsid w:val="C2163B9C"/>
    <w:multiLevelType w:val="multilevel"/>
    <w:tmpl w:val="C2163B9C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  <w:lvl w:ilvl="1" w:tentative="0">
      <w:start w:val="1"/>
      <w:numFmt w:val="decimalEnclosedCircleChinese"/>
      <w:lvlText w:val="%2"/>
      <w:lvlJc w:val="left"/>
      <w:pPr>
        <w:tabs>
          <w:tab w:val="left" w:pos="840"/>
        </w:tabs>
        <w:ind w:left="1260" w:leftChars="0" w:hanging="420" w:firstLineChars="0"/>
      </w:pPr>
      <w:rPr>
        <w:rFonts w:hint="default"/>
      </w:rPr>
    </w:lvl>
    <w:lvl w:ilvl="2" w:tentative="0">
      <w:start w:val="1"/>
      <w:numFmt w:val="decimal"/>
      <w:lvlText w:val="%3)"/>
      <w:lvlJc w:val="left"/>
      <w:pPr>
        <w:tabs>
          <w:tab w:val="left" w:pos="1260"/>
        </w:tabs>
        <w:ind w:left="1680" w:leftChars="0" w:hanging="420" w:firstLineChars="0"/>
      </w:pPr>
      <w:rPr>
        <w:rFonts w:hint="default"/>
      </w:rPr>
    </w:lvl>
    <w:lvl w:ilvl="3" w:tentative="0">
      <w:start w:val="1"/>
      <w:numFmt w:val="lowerLetter"/>
      <w:lvlText w:val="%4."/>
      <w:lvlJc w:val="left"/>
      <w:pPr>
        <w:tabs>
          <w:tab w:val="left" w:pos="1680"/>
        </w:tabs>
        <w:ind w:left="210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52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94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)"/>
      <w:lvlJc w:val="left"/>
      <w:pPr>
        <w:tabs>
          <w:tab w:val="left" w:pos="2940"/>
        </w:tabs>
        <w:ind w:left="336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3360"/>
        </w:tabs>
        <w:ind w:left="378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)"/>
      <w:lvlJc w:val="left"/>
      <w:pPr>
        <w:tabs>
          <w:tab w:val="left" w:pos="3780"/>
        </w:tabs>
        <w:ind w:left="4200" w:leftChars="0" w:hanging="420" w:firstLineChars="0"/>
      </w:pPr>
      <w:rPr>
        <w:rFonts w:hint="default"/>
      </w:rPr>
    </w:lvl>
  </w:abstractNum>
  <w:abstractNum w:abstractNumId="3">
    <w:nsid w:val="EF536235"/>
    <w:multiLevelType w:val="singleLevel"/>
    <w:tmpl w:val="EF536235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4">
    <w:nsid w:val="075E4E73"/>
    <w:multiLevelType w:val="multilevel"/>
    <w:tmpl w:val="075E4E73"/>
    <w:lvl w:ilvl="0" w:tentative="0">
      <w:start w:val="1"/>
      <w:numFmt w:val="decimal"/>
      <w:lvlText w:val="%1)"/>
      <w:lvlJc w:val="left"/>
      <w:pPr>
        <w:ind w:left="1000" w:hanging="440"/>
      </w:pPr>
    </w:lvl>
    <w:lvl w:ilvl="1" w:tentative="0">
      <w:start w:val="1"/>
      <w:numFmt w:val="lowerLetter"/>
      <w:lvlText w:val="%2)"/>
      <w:lvlJc w:val="left"/>
      <w:pPr>
        <w:ind w:left="1440" w:hanging="440"/>
      </w:pPr>
    </w:lvl>
    <w:lvl w:ilvl="2" w:tentative="0">
      <w:start w:val="1"/>
      <w:numFmt w:val="lowerRoman"/>
      <w:lvlText w:val="%3."/>
      <w:lvlJc w:val="right"/>
      <w:pPr>
        <w:ind w:left="1880" w:hanging="440"/>
      </w:pPr>
    </w:lvl>
    <w:lvl w:ilvl="3" w:tentative="0">
      <w:start w:val="1"/>
      <w:numFmt w:val="decimal"/>
      <w:lvlText w:val="%4."/>
      <w:lvlJc w:val="left"/>
      <w:pPr>
        <w:ind w:left="2320" w:hanging="440"/>
      </w:pPr>
    </w:lvl>
    <w:lvl w:ilvl="4" w:tentative="0">
      <w:start w:val="1"/>
      <w:numFmt w:val="lowerLetter"/>
      <w:lvlText w:val="%5)"/>
      <w:lvlJc w:val="left"/>
      <w:pPr>
        <w:ind w:left="2760" w:hanging="440"/>
      </w:pPr>
    </w:lvl>
    <w:lvl w:ilvl="5" w:tentative="0">
      <w:start w:val="1"/>
      <w:numFmt w:val="lowerRoman"/>
      <w:lvlText w:val="%6."/>
      <w:lvlJc w:val="right"/>
      <w:pPr>
        <w:ind w:left="3200" w:hanging="440"/>
      </w:pPr>
    </w:lvl>
    <w:lvl w:ilvl="6" w:tentative="0">
      <w:start w:val="1"/>
      <w:numFmt w:val="decimal"/>
      <w:lvlText w:val="%7."/>
      <w:lvlJc w:val="left"/>
      <w:pPr>
        <w:ind w:left="3640" w:hanging="440"/>
      </w:pPr>
    </w:lvl>
    <w:lvl w:ilvl="7" w:tentative="0">
      <w:start w:val="1"/>
      <w:numFmt w:val="lowerLetter"/>
      <w:lvlText w:val="%8)"/>
      <w:lvlJc w:val="left"/>
      <w:pPr>
        <w:ind w:left="4080" w:hanging="440"/>
      </w:pPr>
    </w:lvl>
    <w:lvl w:ilvl="8" w:tentative="0">
      <w:start w:val="1"/>
      <w:numFmt w:val="lowerRoman"/>
      <w:lvlText w:val="%9."/>
      <w:lvlJc w:val="right"/>
      <w:pPr>
        <w:ind w:left="4520" w:hanging="440"/>
      </w:pPr>
    </w:lvl>
  </w:abstractNum>
  <w:abstractNum w:abstractNumId="5">
    <w:nsid w:val="154242ED"/>
    <w:multiLevelType w:val="multilevel"/>
    <w:tmpl w:val="154242ED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6">
    <w:nsid w:val="207542C0"/>
    <w:multiLevelType w:val="multilevel"/>
    <w:tmpl w:val="207542C0"/>
    <w:lvl w:ilvl="0" w:tentative="0">
      <w:start w:val="1"/>
      <w:numFmt w:val="lowerLetter"/>
      <w:lvlText w:val="%1."/>
      <w:lvlJc w:val="left"/>
      <w:pPr>
        <w:tabs>
          <w:tab w:val="left" w:pos="840"/>
        </w:tabs>
        <w:ind w:left="1265" w:hanging="425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1260"/>
        </w:tabs>
        <w:ind w:left="1680" w:hanging="42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680"/>
        </w:tabs>
        <w:ind w:left="2100" w:hanging="42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520" w:hanging="42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940" w:hanging="42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940"/>
        </w:tabs>
        <w:ind w:left="3360" w:hanging="42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780" w:hanging="42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4200" w:hanging="42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4200"/>
        </w:tabs>
        <w:ind w:left="4620" w:hanging="420"/>
      </w:pPr>
      <w:rPr>
        <w:rFonts w:hint="default"/>
      </w:rPr>
    </w:lvl>
  </w:abstractNum>
  <w:abstractNum w:abstractNumId="7">
    <w:nsid w:val="3482AED0"/>
    <w:multiLevelType w:val="singleLevel"/>
    <w:tmpl w:val="3482AED0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36B27AAC"/>
    <w:multiLevelType w:val="multilevel"/>
    <w:tmpl w:val="36B27AAC"/>
    <w:lvl w:ilvl="0" w:tentative="0">
      <w:start w:val="1"/>
      <w:numFmt w:val="decimal"/>
      <w:lvlText w:val="%1）"/>
      <w:lvlJc w:val="left"/>
      <w:pPr>
        <w:ind w:left="128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440" w:hanging="440"/>
      </w:pPr>
    </w:lvl>
    <w:lvl w:ilvl="2" w:tentative="0">
      <w:start w:val="1"/>
      <w:numFmt w:val="lowerRoman"/>
      <w:lvlText w:val="%3."/>
      <w:lvlJc w:val="right"/>
      <w:pPr>
        <w:ind w:left="1880" w:hanging="440"/>
      </w:pPr>
    </w:lvl>
    <w:lvl w:ilvl="3" w:tentative="0">
      <w:start w:val="1"/>
      <w:numFmt w:val="decimal"/>
      <w:lvlText w:val="%4."/>
      <w:lvlJc w:val="left"/>
      <w:pPr>
        <w:ind w:left="2320" w:hanging="440"/>
      </w:pPr>
    </w:lvl>
    <w:lvl w:ilvl="4" w:tentative="0">
      <w:start w:val="1"/>
      <w:numFmt w:val="lowerLetter"/>
      <w:lvlText w:val="%5)"/>
      <w:lvlJc w:val="left"/>
      <w:pPr>
        <w:ind w:left="2760" w:hanging="440"/>
      </w:pPr>
    </w:lvl>
    <w:lvl w:ilvl="5" w:tentative="0">
      <w:start w:val="1"/>
      <w:numFmt w:val="lowerRoman"/>
      <w:lvlText w:val="%6."/>
      <w:lvlJc w:val="right"/>
      <w:pPr>
        <w:ind w:left="3200" w:hanging="440"/>
      </w:pPr>
    </w:lvl>
    <w:lvl w:ilvl="6" w:tentative="0">
      <w:start w:val="1"/>
      <w:numFmt w:val="decimal"/>
      <w:lvlText w:val="%7."/>
      <w:lvlJc w:val="left"/>
      <w:pPr>
        <w:ind w:left="3640" w:hanging="440"/>
      </w:pPr>
    </w:lvl>
    <w:lvl w:ilvl="7" w:tentative="0">
      <w:start w:val="1"/>
      <w:numFmt w:val="lowerLetter"/>
      <w:lvlText w:val="%8)"/>
      <w:lvlJc w:val="left"/>
      <w:pPr>
        <w:ind w:left="4080" w:hanging="440"/>
      </w:pPr>
    </w:lvl>
    <w:lvl w:ilvl="8" w:tentative="0">
      <w:start w:val="1"/>
      <w:numFmt w:val="lowerRoman"/>
      <w:lvlText w:val="%9."/>
      <w:lvlJc w:val="right"/>
      <w:pPr>
        <w:ind w:left="4520" w:hanging="440"/>
      </w:pPr>
    </w:lvl>
  </w:abstractNum>
  <w:abstractNum w:abstractNumId="9">
    <w:nsid w:val="38857E2D"/>
    <w:multiLevelType w:val="multilevel"/>
    <w:tmpl w:val="38857E2D"/>
    <w:lvl w:ilvl="0" w:tentative="0">
      <w:start w:val="1"/>
      <w:numFmt w:val="decimal"/>
      <w:lvlText w:val="%1)"/>
      <w:lvlJc w:val="left"/>
      <w:pPr>
        <w:ind w:left="1000" w:hanging="440"/>
      </w:pPr>
    </w:lvl>
    <w:lvl w:ilvl="1" w:tentative="0">
      <w:start w:val="1"/>
      <w:numFmt w:val="lowerLetter"/>
      <w:lvlText w:val="%2)"/>
      <w:lvlJc w:val="left"/>
      <w:pPr>
        <w:ind w:left="1440" w:hanging="440"/>
      </w:pPr>
    </w:lvl>
    <w:lvl w:ilvl="2" w:tentative="0">
      <w:start w:val="1"/>
      <w:numFmt w:val="lowerRoman"/>
      <w:lvlText w:val="%3."/>
      <w:lvlJc w:val="right"/>
      <w:pPr>
        <w:ind w:left="1880" w:hanging="440"/>
      </w:pPr>
    </w:lvl>
    <w:lvl w:ilvl="3" w:tentative="0">
      <w:start w:val="1"/>
      <w:numFmt w:val="decimal"/>
      <w:lvlText w:val="%4."/>
      <w:lvlJc w:val="left"/>
      <w:pPr>
        <w:ind w:left="2320" w:hanging="440"/>
      </w:pPr>
    </w:lvl>
    <w:lvl w:ilvl="4" w:tentative="0">
      <w:start w:val="1"/>
      <w:numFmt w:val="lowerLetter"/>
      <w:lvlText w:val="%5)"/>
      <w:lvlJc w:val="left"/>
      <w:pPr>
        <w:ind w:left="2760" w:hanging="440"/>
      </w:pPr>
    </w:lvl>
    <w:lvl w:ilvl="5" w:tentative="0">
      <w:start w:val="1"/>
      <w:numFmt w:val="lowerRoman"/>
      <w:lvlText w:val="%6."/>
      <w:lvlJc w:val="right"/>
      <w:pPr>
        <w:ind w:left="3200" w:hanging="440"/>
      </w:pPr>
    </w:lvl>
    <w:lvl w:ilvl="6" w:tentative="0">
      <w:start w:val="1"/>
      <w:numFmt w:val="decimal"/>
      <w:lvlText w:val="%7."/>
      <w:lvlJc w:val="left"/>
      <w:pPr>
        <w:ind w:left="3640" w:hanging="440"/>
      </w:pPr>
    </w:lvl>
    <w:lvl w:ilvl="7" w:tentative="0">
      <w:start w:val="1"/>
      <w:numFmt w:val="lowerLetter"/>
      <w:lvlText w:val="%8)"/>
      <w:lvlJc w:val="left"/>
      <w:pPr>
        <w:ind w:left="4080" w:hanging="440"/>
      </w:pPr>
    </w:lvl>
    <w:lvl w:ilvl="8" w:tentative="0">
      <w:start w:val="1"/>
      <w:numFmt w:val="lowerRoman"/>
      <w:lvlText w:val="%9."/>
      <w:lvlJc w:val="right"/>
      <w:pPr>
        <w:ind w:left="4520" w:hanging="440"/>
      </w:pPr>
    </w:lvl>
  </w:abstractNum>
  <w:abstractNum w:abstractNumId="10">
    <w:nsid w:val="43F00602"/>
    <w:multiLevelType w:val="multilevel"/>
    <w:tmpl w:val="43F00602"/>
    <w:lvl w:ilvl="0" w:tentative="0">
      <w:start w:val="1"/>
      <w:numFmt w:val="decimal"/>
      <w:pStyle w:val="45"/>
      <w:lvlText w:val="%1.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46"/>
      <w:lvlText w:val="%1.%2.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pStyle w:val="48"/>
      <w:lvlText w:val="%1.%2.%3."/>
      <w:lvlJc w:val="left"/>
      <w:pPr>
        <w:ind w:left="709" w:hanging="709"/>
      </w:pPr>
      <w:rPr>
        <w:rFonts w:hint="eastAsia"/>
      </w:rPr>
    </w:lvl>
    <w:lvl w:ilvl="3" w:tentative="0">
      <w:start w:val="1"/>
      <w:numFmt w:val="decimal"/>
      <w:pStyle w:val="49"/>
      <w:lvlText w:val="%1.%2.%3.%4."/>
      <w:lvlJc w:val="left"/>
      <w:pPr>
        <w:ind w:left="851" w:hanging="851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1">
    <w:nsid w:val="50731EF6"/>
    <w:multiLevelType w:val="multilevel"/>
    <w:tmpl w:val="50731EF6"/>
    <w:lvl w:ilvl="0" w:tentative="0">
      <w:start w:val="1"/>
      <w:numFmt w:val="lowerLetter"/>
      <w:lvlText w:val="%1."/>
      <w:lvlJc w:val="left"/>
      <w:pPr>
        <w:tabs>
          <w:tab w:val="left" w:pos="840"/>
        </w:tabs>
        <w:ind w:left="1265" w:hanging="425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1260"/>
        </w:tabs>
        <w:ind w:left="1680" w:hanging="42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680"/>
        </w:tabs>
        <w:ind w:left="2100" w:hanging="42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520" w:hanging="42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940" w:hanging="42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940"/>
        </w:tabs>
        <w:ind w:left="3360" w:hanging="42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780" w:hanging="42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4200" w:hanging="42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4200"/>
        </w:tabs>
        <w:ind w:left="4620" w:hanging="420"/>
      </w:pPr>
      <w:rPr>
        <w:rFonts w:hint="default"/>
      </w:rPr>
    </w:lvl>
  </w:abstractNum>
  <w:abstractNum w:abstractNumId="12">
    <w:nsid w:val="68569D68"/>
    <w:multiLevelType w:val="singleLevel"/>
    <w:tmpl w:val="68569D68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3">
    <w:nsid w:val="6D3C5996"/>
    <w:multiLevelType w:val="multilevel"/>
    <w:tmpl w:val="6D3C5996"/>
    <w:lvl w:ilvl="0" w:tentative="0">
      <w:start w:val="1"/>
      <w:numFmt w:val="decimal"/>
      <w:lvlText w:val="%1)"/>
      <w:lvlJc w:val="left"/>
      <w:pPr>
        <w:ind w:left="1000" w:hanging="440"/>
      </w:pPr>
    </w:lvl>
    <w:lvl w:ilvl="1" w:tentative="0">
      <w:start w:val="1"/>
      <w:numFmt w:val="lowerLetter"/>
      <w:lvlText w:val="%2)"/>
      <w:lvlJc w:val="left"/>
      <w:pPr>
        <w:ind w:left="1440" w:hanging="440"/>
      </w:pPr>
    </w:lvl>
    <w:lvl w:ilvl="2" w:tentative="0">
      <w:start w:val="1"/>
      <w:numFmt w:val="lowerRoman"/>
      <w:lvlText w:val="%3."/>
      <w:lvlJc w:val="right"/>
      <w:pPr>
        <w:ind w:left="1880" w:hanging="440"/>
      </w:pPr>
    </w:lvl>
    <w:lvl w:ilvl="3" w:tentative="0">
      <w:start w:val="1"/>
      <w:numFmt w:val="decimal"/>
      <w:lvlText w:val="%4."/>
      <w:lvlJc w:val="left"/>
      <w:pPr>
        <w:ind w:left="2320" w:hanging="440"/>
      </w:pPr>
    </w:lvl>
    <w:lvl w:ilvl="4" w:tentative="0">
      <w:start w:val="1"/>
      <w:numFmt w:val="lowerLetter"/>
      <w:lvlText w:val="%5)"/>
      <w:lvlJc w:val="left"/>
      <w:pPr>
        <w:ind w:left="2760" w:hanging="440"/>
      </w:pPr>
    </w:lvl>
    <w:lvl w:ilvl="5" w:tentative="0">
      <w:start w:val="1"/>
      <w:numFmt w:val="lowerRoman"/>
      <w:lvlText w:val="%6."/>
      <w:lvlJc w:val="right"/>
      <w:pPr>
        <w:ind w:left="3200" w:hanging="440"/>
      </w:pPr>
    </w:lvl>
    <w:lvl w:ilvl="6" w:tentative="0">
      <w:start w:val="1"/>
      <w:numFmt w:val="decimal"/>
      <w:lvlText w:val="%7."/>
      <w:lvlJc w:val="left"/>
      <w:pPr>
        <w:ind w:left="3640" w:hanging="440"/>
      </w:pPr>
    </w:lvl>
    <w:lvl w:ilvl="7" w:tentative="0">
      <w:start w:val="1"/>
      <w:numFmt w:val="lowerLetter"/>
      <w:lvlText w:val="%8)"/>
      <w:lvlJc w:val="left"/>
      <w:pPr>
        <w:ind w:left="4080" w:hanging="440"/>
      </w:pPr>
    </w:lvl>
    <w:lvl w:ilvl="8" w:tentative="0">
      <w:start w:val="1"/>
      <w:numFmt w:val="lowerRoman"/>
      <w:lvlText w:val="%9."/>
      <w:lvlJc w:val="right"/>
      <w:pPr>
        <w:ind w:left="4520" w:hanging="440"/>
      </w:pPr>
    </w:lvl>
  </w:abstractNum>
  <w:num w:numId="1">
    <w:abstractNumId w:val="5"/>
  </w:num>
  <w:num w:numId="2">
    <w:abstractNumId w:val="10"/>
  </w:num>
  <w:num w:numId="3">
    <w:abstractNumId w:val="1"/>
  </w:num>
  <w:num w:numId="4">
    <w:abstractNumId w:val="0"/>
  </w:num>
  <w:num w:numId="5">
    <w:abstractNumId w:val="6"/>
  </w:num>
  <w:num w:numId="6">
    <w:abstractNumId w:val="3"/>
  </w:num>
  <w:num w:numId="7">
    <w:abstractNumId w:val="8"/>
  </w:num>
  <w:num w:numId="8">
    <w:abstractNumId w:val="7"/>
  </w:num>
  <w:num w:numId="9">
    <w:abstractNumId w:val="11"/>
  </w:num>
  <w:num w:numId="10">
    <w:abstractNumId w:val="2"/>
  </w:num>
  <w:num w:numId="11">
    <w:abstractNumId w:val="4"/>
  </w:num>
  <w:num w:numId="12">
    <w:abstractNumId w:val="13"/>
  </w:num>
  <w:num w:numId="13">
    <w:abstractNumId w:val="9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NotDisplayPageBoundaries w:val="1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5962"/>
    <w:rsid w:val="00000896"/>
    <w:rsid w:val="000014A6"/>
    <w:rsid w:val="0000222A"/>
    <w:rsid w:val="0000223F"/>
    <w:rsid w:val="000073DD"/>
    <w:rsid w:val="00010A7A"/>
    <w:rsid w:val="000114DF"/>
    <w:rsid w:val="000136E6"/>
    <w:rsid w:val="000140C1"/>
    <w:rsid w:val="0001578F"/>
    <w:rsid w:val="000169FD"/>
    <w:rsid w:val="0001742C"/>
    <w:rsid w:val="00017823"/>
    <w:rsid w:val="00027015"/>
    <w:rsid w:val="000300C0"/>
    <w:rsid w:val="000304C1"/>
    <w:rsid w:val="00033555"/>
    <w:rsid w:val="0003647D"/>
    <w:rsid w:val="00037573"/>
    <w:rsid w:val="0004005E"/>
    <w:rsid w:val="00040372"/>
    <w:rsid w:val="000424DC"/>
    <w:rsid w:val="0004476F"/>
    <w:rsid w:val="00044D1B"/>
    <w:rsid w:val="00047E10"/>
    <w:rsid w:val="000541D2"/>
    <w:rsid w:val="000571E2"/>
    <w:rsid w:val="00060F46"/>
    <w:rsid w:val="00061B5E"/>
    <w:rsid w:val="0006223E"/>
    <w:rsid w:val="00070943"/>
    <w:rsid w:val="00070999"/>
    <w:rsid w:val="00072DB9"/>
    <w:rsid w:val="00073189"/>
    <w:rsid w:val="00073219"/>
    <w:rsid w:val="00073E0A"/>
    <w:rsid w:val="00075496"/>
    <w:rsid w:val="000757D6"/>
    <w:rsid w:val="000779EA"/>
    <w:rsid w:val="00083B4F"/>
    <w:rsid w:val="00084BB1"/>
    <w:rsid w:val="00086919"/>
    <w:rsid w:val="00092857"/>
    <w:rsid w:val="00092DA1"/>
    <w:rsid w:val="000937F9"/>
    <w:rsid w:val="00095C9B"/>
    <w:rsid w:val="000A3B15"/>
    <w:rsid w:val="000A3E8F"/>
    <w:rsid w:val="000A45B4"/>
    <w:rsid w:val="000B0096"/>
    <w:rsid w:val="000B03ED"/>
    <w:rsid w:val="000B58D2"/>
    <w:rsid w:val="000B6907"/>
    <w:rsid w:val="000B7538"/>
    <w:rsid w:val="000C09B6"/>
    <w:rsid w:val="000C3C2B"/>
    <w:rsid w:val="000C3F92"/>
    <w:rsid w:val="000C7508"/>
    <w:rsid w:val="000C79BA"/>
    <w:rsid w:val="000D0510"/>
    <w:rsid w:val="000D089C"/>
    <w:rsid w:val="000D147D"/>
    <w:rsid w:val="000D5226"/>
    <w:rsid w:val="000D5A49"/>
    <w:rsid w:val="000D66B8"/>
    <w:rsid w:val="000E10C3"/>
    <w:rsid w:val="000E1DFD"/>
    <w:rsid w:val="000E4149"/>
    <w:rsid w:val="000F0D9A"/>
    <w:rsid w:val="000F2446"/>
    <w:rsid w:val="000F4CA9"/>
    <w:rsid w:val="000F7374"/>
    <w:rsid w:val="00100004"/>
    <w:rsid w:val="00100041"/>
    <w:rsid w:val="00100768"/>
    <w:rsid w:val="001020D4"/>
    <w:rsid w:val="0010244E"/>
    <w:rsid w:val="00102882"/>
    <w:rsid w:val="001034F1"/>
    <w:rsid w:val="00105F13"/>
    <w:rsid w:val="00106385"/>
    <w:rsid w:val="00106F57"/>
    <w:rsid w:val="001130E9"/>
    <w:rsid w:val="00113B52"/>
    <w:rsid w:val="00116A58"/>
    <w:rsid w:val="00123FB7"/>
    <w:rsid w:val="00125223"/>
    <w:rsid w:val="00125282"/>
    <w:rsid w:val="00127077"/>
    <w:rsid w:val="001276F1"/>
    <w:rsid w:val="001307F1"/>
    <w:rsid w:val="00132EF0"/>
    <w:rsid w:val="001349BB"/>
    <w:rsid w:val="00135DA7"/>
    <w:rsid w:val="00136870"/>
    <w:rsid w:val="00137157"/>
    <w:rsid w:val="00143BA6"/>
    <w:rsid w:val="001464DB"/>
    <w:rsid w:val="00146872"/>
    <w:rsid w:val="00147923"/>
    <w:rsid w:val="00150177"/>
    <w:rsid w:val="00152132"/>
    <w:rsid w:val="00155C2D"/>
    <w:rsid w:val="00162D66"/>
    <w:rsid w:val="00164724"/>
    <w:rsid w:val="00164F59"/>
    <w:rsid w:val="00165887"/>
    <w:rsid w:val="0017099E"/>
    <w:rsid w:val="0017176C"/>
    <w:rsid w:val="00171ABC"/>
    <w:rsid w:val="0017294B"/>
    <w:rsid w:val="00175FD1"/>
    <w:rsid w:val="00177420"/>
    <w:rsid w:val="001810B3"/>
    <w:rsid w:val="001820C1"/>
    <w:rsid w:val="001831EC"/>
    <w:rsid w:val="0018519E"/>
    <w:rsid w:val="00187F6D"/>
    <w:rsid w:val="00191226"/>
    <w:rsid w:val="00193E18"/>
    <w:rsid w:val="00196503"/>
    <w:rsid w:val="00196B5E"/>
    <w:rsid w:val="001A0F48"/>
    <w:rsid w:val="001A5AC6"/>
    <w:rsid w:val="001A7A05"/>
    <w:rsid w:val="001B148E"/>
    <w:rsid w:val="001B2A3E"/>
    <w:rsid w:val="001B35D5"/>
    <w:rsid w:val="001B7E80"/>
    <w:rsid w:val="001C0F19"/>
    <w:rsid w:val="001C106D"/>
    <w:rsid w:val="001C3696"/>
    <w:rsid w:val="001D0E8A"/>
    <w:rsid w:val="001D1184"/>
    <w:rsid w:val="001D1837"/>
    <w:rsid w:val="001D2003"/>
    <w:rsid w:val="001D69CA"/>
    <w:rsid w:val="001D6E91"/>
    <w:rsid w:val="001D7FE2"/>
    <w:rsid w:val="001E02F5"/>
    <w:rsid w:val="001E0F04"/>
    <w:rsid w:val="001E2168"/>
    <w:rsid w:val="001E2BA8"/>
    <w:rsid w:val="001E5DF0"/>
    <w:rsid w:val="001E73D4"/>
    <w:rsid w:val="001F3C5F"/>
    <w:rsid w:val="001F5E34"/>
    <w:rsid w:val="002005E3"/>
    <w:rsid w:val="002055C7"/>
    <w:rsid w:val="00207EFD"/>
    <w:rsid w:val="00216336"/>
    <w:rsid w:val="00216A19"/>
    <w:rsid w:val="002170A3"/>
    <w:rsid w:val="0022246E"/>
    <w:rsid w:val="002239EF"/>
    <w:rsid w:val="00224435"/>
    <w:rsid w:val="0022461A"/>
    <w:rsid w:val="00230D26"/>
    <w:rsid w:val="00235EE8"/>
    <w:rsid w:val="00236DDC"/>
    <w:rsid w:val="00237C20"/>
    <w:rsid w:val="00243CD0"/>
    <w:rsid w:val="00251791"/>
    <w:rsid w:val="002547D0"/>
    <w:rsid w:val="0025529C"/>
    <w:rsid w:val="0025534C"/>
    <w:rsid w:val="0025588C"/>
    <w:rsid w:val="00256107"/>
    <w:rsid w:val="0025660D"/>
    <w:rsid w:val="002576F9"/>
    <w:rsid w:val="00267ECF"/>
    <w:rsid w:val="0027021A"/>
    <w:rsid w:val="0027122E"/>
    <w:rsid w:val="00271906"/>
    <w:rsid w:val="00273E4D"/>
    <w:rsid w:val="0027481C"/>
    <w:rsid w:val="00275B95"/>
    <w:rsid w:val="00276523"/>
    <w:rsid w:val="00280E05"/>
    <w:rsid w:val="0028190A"/>
    <w:rsid w:val="00287829"/>
    <w:rsid w:val="00287E05"/>
    <w:rsid w:val="00290470"/>
    <w:rsid w:val="00291C1A"/>
    <w:rsid w:val="002920D6"/>
    <w:rsid w:val="00292245"/>
    <w:rsid w:val="00292A4B"/>
    <w:rsid w:val="00293AB2"/>
    <w:rsid w:val="00295F80"/>
    <w:rsid w:val="0029701D"/>
    <w:rsid w:val="002971E9"/>
    <w:rsid w:val="002A4DD5"/>
    <w:rsid w:val="002A5341"/>
    <w:rsid w:val="002B11D5"/>
    <w:rsid w:val="002B2690"/>
    <w:rsid w:val="002B72AE"/>
    <w:rsid w:val="002C1007"/>
    <w:rsid w:val="002C3EA4"/>
    <w:rsid w:val="002C5724"/>
    <w:rsid w:val="002C59CC"/>
    <w:rsid w:val="002C629A"/>
    <w:rsid w:val="002D12DA"/>
    <w:rsid w:val="002D444A"/>
    <w:rsid w:val="002D6AAC"/>
    <w:rsid w:val="002D7579"/>
    <w:rsid w:val="002E5E1A"/>
    <w:rsid w:val="002F0D6E"/>
    <w:rsid w:val="002F2409"/>
    <w:rsid w:val="002F30DC"/>
    <w:rsid w:val="002F68D1"/>
    <w:rsid w:val="002F7A96"/>
    <w:rsid w:val="00301EAD"/>
    <w:rsid w:val="00304678"/>
    <w:rsid w:val="00304E44"/>
    <w:rsid w:val="00312D38"/>
    <w:rsid w:val="0031379E"/>
    <w:rsid w:val="003147F4"/>
    <w:rsid w:val="00324F72"/>
    <w:rsid w:val="00326024"/>
    <w:rsid w:val="00326E7C"/>
    <w:rsid w:val="003276BE"/>
    <w:rsid w:val="00330A0A"/>
    <w:rsid w:val="003312F2"/>
    <w:rsid w:val="003333C3"/>
    <w:rsid w:val="00334E65"/>
    <w:rsid w:val="003367D1"/>
    <w:rsid w:val="0033715D"/>
    <w:rsid w:val="00337428"/>
    <w:rsid w:val="00337C49"/>
    <w:rsid w:val="003404F5"/>
    <w:rsid w:val="00341B1F"/>
    <w:rsid w:val="00343C5E"/>
    <w:rsid w:val="0034407B"/>
    <w:rsid w:val="003453F2"/>
    <w:rsid w:val="00350211"/>
    <w:rsid w:val="003520FA"/>
    <w:rsid w:val="003524BA"/>
    <w:rsid w:val="003538A8"/>
    <w:rsid w:val="00353E79"/>
    <w:rsid w:val="003560D2"/>
    <w:rsid w:val="0036096C"/>
    <w:rsid w:val="00360E6A"/>
    <w:rsid w:val="00362539"/>
    <w:rsid w:val="003631BA"/>
    <w:rsid w:val="00363A99"/>
    <w:rsid w:val="00363E8C"/>
    <w:rsid w:val="00364E7B"/>
    <w:rsid w:val="00370E38"/>
    <w:rsid w:val="00371A3C"/>
    <w:rsid w:val="00372833"/>
    <w:rsid w:val="00373708"/>
    <w:rsid w:val="00376481"/>
    <w:rsid w:val="00376F49"/>
    <w:rsid w:val="003778B5"/>
    <w:rsid w:val="00382044"/>
    <w:rsid w:val="00382F21"/>
    <w:rsid w:val="00384742"/>
    <w:rsid w:val="00385642"/>
    <w:rsid w:val="0038585E"/>
    <w:rsid w:val="00385F73"/>
    <w:rsid w:val="00387F7E"/>
    <w:rsid w:val="0039190B"/>
    <w:rsid w:val="00394006"/>
    <w:rsid w:val="00395287"/>
    <w:rsid w:val="003965FE"/>
    <w:rsid w:val="003A01FF"/>
    <w:rsid w:val="003A12EA"/>
    <w:rsid w:val="003A1704"/>
    <w:rsid w:val="003A2520"/>
    <w:rsid w:val="003A2A3E"/>
    <w:rsid w:val="003A2C8B"/>
    <w:rsid w:val="003A4802"/>
    <w:rsid w:val="003A5E96"/>
    <w:rsid w:val="003B0777"/>
    <w:rsid w:val="003B125D"/>
    <w:rsid w:val="003C1507"/>
    <w:rsid w:val="003C20A9"/>
    <w:rsid w:val="003C3873"/>
    <w:rsid w:val="003C3CCA"/>
    <w:rsid w:val="003C7BAD"/>
    <w:rsid w:val="003D28D0"/>
    <w:rsid w:val="003D45D1"/>
    <w:rsid w:val="003D4857"/>
    <w:rsid w:val="003D4E28"/>
    <w:rsid w:val="003D5105"/>
    <w:rsid w:val="003D6A75"/>
    <w:rsid w:val="003D7882"/>
    <w:rsid w:val="003E136A"/>
    <w:rsid w:val="003E14F2"/>
    <w:rsid w:val="003E227B"/>
    <w:rsid w:val="003E3FF2"/>
    <w:rsid w:val="003E457B"/>
    <w:rsid w:val="003F4ECB"/>
    <w:rsid w:val="003F65C4"/>
    <w:rsid w:val="003F715C"/>
    <w:rsid w:val="004021F6"/>
    <w:rsid w:val="00402E7B"/>
    <w:rsid w:val="00403338"/>
    <w:rsid w:val="00405748"/>
    <w:rsid w:val="00406A4D"/>
    <w:rsid w:val="00406E66"/>
    <w:rsid w:val="004071D0"/>
    <w:rsid w:val="004077FE"/>
    <w:rsid w:val="0041425A"/>
    <w:rsid w:val="00414573"/>
    <w:rsid w:val="00420225"/>
    <w:rsid w:val="00420270"/>
    <w:rsid w:val="00420943"/>
    <w:rsid w:val="00424EBA"/>
    <w:rsid w:val="004255C5"/>
    <w:rsid w:val="00426076"/>
    <w:rsid w:val="0043283C"/>
    <w:rsid w:val="00434CAD"/>
    <w:rsid w:val="00442894"/>
    <w:rsid w:val="004434D1"/>
    <w:rsid w:val="00444D40"/>
    <w:rsid w:val="004454DF"/>
    <w:rsid w:val="0044672A"/>
    <w:rsid w:val="00450335"/>
    <w:rsid w:val="0045071A"/>
    <w:rsid w:val="00460A9C"/>
    <w:rsid w:val="00460D14"/>
    <w:rsid w:val="00461A2B"/>
    <w:rsid w:val="00463AF2"/>
    <w:rsid w:val="00465667"/>
    <w:rsid w:val="00467191"/>
    <w:rsid w:val="004674B7"/>
    <w:rsid w:val="00471299"/>
    <w:rsid w:val="00473906"/>
    <w:rsid w:val="00474F4E"/>
    <w:rsid w:val="00480E6F"/>
    <w:rsid w:val="0048413F"/>
    <w:rsid w:val="004851F6"/>
    <w:rsid w:val="00490840"/>
    <w:rsid w:val="004916E7"/>
    <w:rsid w:val="00492209"/>
    <w:rsid w:val="00495CA6"/>
    <w:rsid w:val="004962C5"/>
    <w:rsid w:val="004A2547"/>
    <w:rsid w:val="004A2B4F"/>
    <w:rsid w:val="004A30A0"/>
    <w:rsid w:val="004A6A78"/>
    <w:rsid w:val="004A7044"/>
    <w:rsid w:val="004A768F"/>
    <w:rsid w:val="004A7DBF"/>
    <w:rsid w:val="004B0EE5"/>
    <w:rsid w:val="004B11DC"/>
    <w:rsid w:val="004B21CF"/>
    <w:rsid w:val="004B479A"/>
    <w:rsid w:val="004C0B88"/>
    <w:rsid w:val="004C320F"/>
    <w:rsid w:val="004D0D5C"/>
    <w:rsid w:val="004D11F3"/>
    <w:rsid w:val="004D1AEB"/>
    <w:rsid w:val="004D1BA3"/>
    <w:rsid w:val="004D44FD"/>
    <w:rsid w:val="004D690D"/>
    <w:rsid w:val="004D69F4"/>
    <w:rsid w:val="004D6B65"/>
    <w:rsid w:val="004E2A5B"/>
    <w:rsid w:val="004E2A8C"/>
    <w:rsid w:val="004E32AC"/>
    <w:rsid w:val="004E3447"/>
    <w:rsid w:val="004E3BE5"/>
    <w:rsid w:val="004E5139"/>
    <w:rsid w:val="004E528C"/>
    <w:rsid w:val="004E6D9E"/>
    <w:rsid w:val="004F00A6"/>
    <w:rsid w:val="004F5CB3"/>
    <w:rsid w:val="004F77A7"/>
    <w:rsid w:val="00504C18"/>
    <w:rsid w:val="00506051"/>
    <w:rsid w:val="00507395"/>
    <w:rsid w:val="00511536"/>
    <w:rsid w:val="00513259"/>
    <w:rsid w:val="0051331C"/>
    <w:rsid w:val="005310DB"/>
    <w:rsid w:val="00533256"/>
    <w:rsid w:val="00533790"/>
    <w:rsid w:val="00533C36"/>
    <w:rsid w:val="00533EDD"/>
    <w:rsid w:val="00536BCD"/>
    <w:rsid w:val="00537956"/>
    <w:rsid w:val="00540A59"/>
    <w:rsid w:val="005421E9"/>
    <w:rsid w:val="00543E53"/>
    <w:rsid w:val="0054545B"/>
    <w:rsid w:val="00554C5C"/>
    <w:rsid w:val="00554D39"/>
    <w:rsid w:val="00565074"/>
    <w:rsid w:val="0056648B"/>
    <w:rsid w:val="00567DB8"/>
    <w:rsid w:val="00570728"/>
    <w:rsid w:val="00570A50"/>
    <w:rsid w:val="00571863"/>
    <w:rsid w:val="0057253D"/>
    <w:rsid w:val="005734D7"/>
    <w:rsid w:val="005742B2"/>
    <w:rsid w:val="00574CBE"/>
    <w:rsid w:val="00574E42"/>
    <w:rsid w:val="00576827"/>
    <w:rsid w:val="00576852"/>
    <w:rsid w:val="00576E6F"/>
    <w:rsid w:val="00581054"/>
    <w:rsid w:val="00584A61"/>
    <w:rsid w:val="00590E26"/>
    <w:rsid w:val="00590F46"/>
    <w:rsid w:val="00591C32"/>
    <w:rsid w:val="00592835"/>
    <w:rsid w:val="005959EE"/>
    <w:rsid w:val="00597755"/>
    <w:rsid w:val="005A1A36"/>
    <w:rsid w:val="005A2F30"/>
    <w:rsid w:val="005A3101"/>
    <w:rsid w:val="005A3B8C"/>
    <w:rsid w:val="005A3BA7"/>
    <w:rsid w:val="005A6A7D"/>
    <w:rsid w:val="005B1901"/>
    <w:rsid w:val="005B1C0B"/>
    <w:rsid w:val="005B2CF5"/>
    <w:rsid w:val="005C1907"/>
    <w:rsid w:val="005C5006"/>
    <w:rsid w:val="005C745D"/>
    <w:rsid w:val="005D1E4E"/>
    <w:rsid w:val="005D2A64"/>
    <w:rsid w:val="005D444A"/>
    <w:rsid w:val="005E0E13"/>
    <w:rsid w:val="005E17E6"/>
    <w:rsid w:val="005E197B"/>
    <w:rsid w:val="005E5329"/>
    <w:rsid w:val="005E6197"/>
    <w:rsid w:val="005E6489"/>
    <w:rsid w:val="005E6D1F"/>
    <w:rsid w:val="005E79D7"/>
    <w:rsid w:val="005F0C0A"/>
    <w:rsid w:val="005F32CC"/>
    <w:rsid w:val="00600C2F"/>
    <w:rsid w:val="0060421B"/>
    <w:rsid w:val="00606258"/>
    <w:rsid w:val="00614C6C"/>
    <w:rsid w:val="006160BE"/>
    <w:rsid w:val="00617694"/>
    <w:rsid w:val="00623648"/>
    <w:rsid w:val="00624966"/>
    <w:rsid w:val="006254A6"/>
    <w:rsid w:val="006273D2"/>
    <w:rsid w:val="00630B7B"/>
    <w:rsid w:val="00632846"/>
    <w:rsid w:val="00632ABE"/>
    <w:rsid w:val="006331E3"/>
    <w:rsid w:val="00636BE5"/>
    <w:rsid w:val="00636D5A"/>
    <w:rsid w:val="006416C7"/>
    <w:rsid w:val="006422AB"/>
    <w:rsid w:val="006462D8"/>
    <w:rsid w:val="00646EE9"/>
    <w:rsid w:val="00650C9D"/>
    <w:rsid w:val="00650DD0"/>
    <w:rsid w:val="0065157C"/>
    <w:rsid w:val="0065164F"/>
    <w:rsid w:val="00651CD4"/>
    <w:rsid w:val="00652F1D"/>
    <w:rsid w:val="00657643"/>
    <w:rsid w:val="00662CB9"/>
    <w:rsid w:val="00663AD0"/>
    <w:rsid w:val="006669B0"/>
    <w:rsid w:val="00667146"/>
    <w:rsid w:val="006673F8"/>
    <w:rsid w:val="006723A4"/>
    <w:rsid w:val="0067240A"/>
    <w:rsid w:val="0067308B"/>
    <w:rsid w:val="0067319F"/>
    <w:rsid w:val="0067395B"/>
    <w:rsid w:val="00674D3C"/>
    <w:rsid w:val="006765CD"/>
    <w:rsid w:val="006772A3"/>
    <w:rsid w:val="006843C9"/>
    <w:rsid w:val="00684724"/>
    <w:rsid w:val="00690645"/>
    <w:rsid w:val="00693455"/>
    <w:rsid w:val="006A36AE"/>
    <w:rsid w:val="006A40F9"/>
    <w:rsid w:val="006A45DF"/>
    <w:rsid w:val="006A5B4E"/>
    <w:rsid w:val="006A695A"/>
    <w:rsid w:val="006B1024"/>
    <w:rsid w:val="006B7AFF"/>
    <w:rsid w:val="006D02A9"/>
    <w:rsid w:val="006D4A14"/>
    <w:rsid w:val="006D4D3D"/>
    <w:rsid w:val="006D6CB2"/>
    <w:rsid w:val="006D73B7"/>
    <w:rsid w:val="006E0CAC"/>
    <w:rsid w:val="006E53A7"/>
    <w:rsid w:val="006E62D8"/>
    <w:rsid w:val="006E71F2"/>
    <w:rsid w:val="006F0C79"/>
    <w:rsid w:val="006F15EA"/>
    <w:rsid w:val="006F184D"/>
    <w:rsid w:val="006F2864"/>
    <w:rsid w:val="006F419B"/>
    <w:rsid w:val="006F55E5"/>
    <w:rsid w:val="00700CC9"/>
    <w:rsid w:val="00702433"/>
    <w:rsid w:val="00706D9D"/>
    <w:rsid w:val="0070721F"/>
    <w:rsid w:val="00707388"/>
    <w:rsid w:val="00707E69"/>
    <w:rsid w:val="00712ECB"/>
    <w:rsid w:val="007146E0"/>
    <w:rsid w:val="00714DE5"/>
    <w:rsid w:val="00722B9C"/>
    <w:rsid w:val="00722E82"/>
    <w:rsid w:val="00723643"/>
    <w:rsid w:val="007258C9"/>
    <w:rsid w:val="0072799B"/>
    <w:rsid w:val="007349A9"/>
    <w:rsid w:val="0073519A"/>
    <w:rsid w:val="00735AF7"/>
    <w:rsid w:val="007362D3"/>
    <w:rsid w:val="007403C3"/>
    <w:rsid w:val="00742D70"/>
    <w:rsid w:val="00743AFE"/>
    <w:rsid w:val="00745666"/>
    <w:rsid w:val="00750222"/>
    <w:rsid w:val="0075303B"/>
    <w:rsid w:val="00753AED"/>
    <w:rsid w:val="00761468"/>
    <w:rsid w:val="007636ED"/>
    <w:rsid w:val="00771A0F"/>
    <w:rsid w:val="00773685"/>
    <w:rsid w:val="00776EE1"/>
    <w:rsid w:val="00780C07"/>
    <w:rsid w:val="007818FC"/>
    <w:rsid w:val="00781CE4"/>
    <w:rsid w:val="00786E7E"/>
    <w:rsid w:val="00787154"/>
    <w:rsid w:val="00795EF7"/>
    <w:rsid w:val="007971D5"/>
    <w:rsid w:val="007A18AE"/>
    <w:rsid w:val="007B38B8"/>
    <w:rsid w:val="007B4D81"/>
    <w:rsid w:val="007C0223"/>
    <w:rsid w:val="007C373C"/>
    <w:rsid w:val="007C3BD6"/>
    <w:rsid w:val="007C7698"/>
    <w:rsid w:val="007D27EB"/>
    <w:rsid w:val="007D28C8"/>
    <w:rsid w:val="007D4DE0"/>
    <w:rsid w:val="007D5838"/>
    <w:rsid w:val="007F2D98"/>
    <w:rsid w:val="007F4188"/>
    <w:rsid w:val="007F493C"/>
    <w:rsid w:val="007F595B"/>
    <w:rsid w:val="008021E9"/>
    <w:rsid w:val="00803D1A"/>
    <w:rsid w:val="00810E74"/>
    <w:rsid w:val="00810F49"/>
    <w:rsid w:val="00815390"/>
    <w:rsid w:val="008170AF"/>
    <w:rsid w:val="008171EB"/>
    <w:rsid w:val="0082082D"/>
    <w:rsid w:val="00823577"/>
    <w:rsid w:val="00824999"/>
    <w:rsid w:val="00827EAF"/>
    <w:rsid w:val="00832FAA"/>
    <w:rsid w:val="0083422A"/>
    <w:rsid w:val="00835124"/>
    <w:rsid w:val="00835C2B"/>
    <w:rsid w:val="00836B59"/>
    <w:rsid w:val="008408E6"/>
    <w:rsid w:val="00845BF1"/>
    <w:rsid w:val="0084646B"/>
    <w:rsid w:val="00846C11"/>
    <w:rsid w:val="00847238"/>
    <w:rsid w:val="008549EA"/>
    <w:rsid w:val="00855419"/>
    <w:rsid w:val="00855A0A"/>
    <w:rsid w:val="00855DDB"/>
    <w:rsid w:val="00861591"/>
    <w:rsid w:val="0086201A"/>
    <w:rsid w:val="0086239D"/>
    <w:rsid w:val="008637D4"/>
    <w:rsid w:val="008640CE"/>
    <w:rsid w:val="00866C06"/>
    <w:rsid w:val="0087013F"/>
    <w:rsid w:val="00870A98"/>
    <w:rsid w:val="00874E9B"/>
    <w:rsid w:val="00875690"/>
    <w:rsid w:val="0087588F"/>
    <w:rsid w:val="008763E5"/>
    <w:rsid w:val="00877775"/>
    <w:rsid w:val="00877E6D"/>
    <w:rsid w:val="00881AF2"/>
    <w:rsid w:val="0088203A"/>
    <w:rsid w:val="00882227"/>
    <w:rsid w:val="00883BF6"/>
    <w:rsid w:val="00883F19"/>
    <w:rsid w:val="008847E1"/>
    <w:rsid w:val="008865EE"/>
    <w:rsid w:val="00890FB4"/>
    <w:rsid w:val="008916A8"/>
    <w:rsid w:val="0089190D"/>
    <w:rsid w:val="008925D8"/>
    <w:rsid w:val="00894174"/>
    <w:rsid w:val="00897A70"/>
    <w:rsid w:val="008A1097"/>
    <w:rsid w:val="008A275E"/>
    <w:rsid w:val="008A37B0"/>
    <w:rsid w:val="008A3EF3"/>
    <w:rsid w:val="008A5CE5"/>
    <w:rsid w:val="008A60B3"/>
    <w:rsid w:val="008B26D6"/>
    <w:rsid w:val="008B2C9B"/>
    <w:rsid w:val="008B4FAB"/>
    <w:rsid w:val="008B5820"/>
    <w:rsid w:val="008C1305"/>
    <w:rsid w:val="008C32C5"/>
    <w:rsid w:val="008C49F1"/>
    <w:rsid w:val="008C66D2"/>
    <w:rsid w:val="008D214C"/>
    <w:rsid w:val="008D2ADE"/>
    <w:rsid w:val="008D2E71"/>
    <w:rsid w:val="008D61D2"/>
    <w:rsid w:val="008D6602"/>
    <w:rsid w:val="008D6EB9"/>
    <w:rsid w:val="008D7AD3"/>
    <w:rsid w:val="008E0BDE"/>
    <w:rsid w:val="008E101A"/>
    <w:rsid w:val="008E1A15"/>
    <w:rsid w:val="008E417C"/>
    <w:rsid w:val="008E4435"/>
    <w:rsid w:val="008E5E72"/>
    <w:rsid w:val="008F12D8"/>
    <w:rsid w:val="008F1611"/>
    <w:rsid w:val="008F448C"/>
    <w:rsid w:val="0090469B"/>
    <w:rsid w:val="00906988"/>
    <w:rsid w:val="00906D9A"/>
    <w:rsid w:val="00907DF8"/>
    <w:rsid w:val="00907F4D"/>
    <w:rsid w:val="0091037E"/>
    <w:rsid w:val="0091056A"/>
    <w:rsid w:val="0091466F"/>
    <w:rsid w:val="009146CD"/>
    <w:rsid w:val="00917F8D"/>
    <w:rsid w:val="00922D32"/>
    <w:rsid w:val="00923050"/>
    <w:rsid w:val="00923D68"/>
    <w:rsid w:val="00923F41"/>
    <w:rsid w:val="009240D9"/>
    <w:rsid w:val="0092430D"/>
    <w:rsid w:val="009254F7"/>
    <w:rsid w:val="00925935"/>
    <w:rsid w:val="00930211"/>
    <w:rsid w:val="00931F2C"/>
    <w:rsid w:val="00940E18"/>
    <w:rsid w:val="00942224"/>
    <w:rsid w:val="0094662E"/>
    <w:rsid w:val="00950CA8"/>
    <w:rsid w:val="00952DB4"/>
    <w:rsid w:val="009562BB"/>
    <w:rsid w:val="00956D1F"/>
    <w:rsid w:val="00960C73"/>
    <w:rsid w:val="00963ADA"/>
    <w:rsid w:val="00967848"/>
    <w:rsid w:val="009724C7"/>
    <w:rsid w:val="00972537"/>
    <w:rsid w:val="00974E68"/>
    <w:rsid w:val="00975C55"/>
    <w:rsid w:val="009774D0"/>
    <w:rsid w:val="00982CFA"/>
    <w:rsid w:val="00984179"/>
    <w:rsid w:val="009847BB"/>
    <w:rsid w:val="00985CC0"/>
    <w:rsid w:val="00992996"/>
    <w:rsid w:val="00993E0B"/>
    <w:rsid w:val="00994225"/>
    <w:rsid w:val="00994417"/>
    <w:rsid w:val="00995FC5"/>
    <w:rsid w:val="00996479"/>
    <w:rsid w:val="0099696A"/>
    <w:rsid w:val="009A1115"/>
    <w:rsid w:val="009A186E"/>
    <w:rsid w:val="009A1996"/>
    <w:rsid w:val="009A2BD9"/>
    <w:rsid w:val="009A4250"/>
    <w:rsid w:val="009B2339"/>
    <w:rsid w:val="009B3AA9"/>
    <w:rsid w:val="009B5741"/>
    <w:rsid w:val="009B63EC"/>
    <w:rsid w:val="009B71CE"/>
    <w:rsid w:val="009C3EE6"/>
    <w:rsid w:val="009C4D34"/>
    <w:rsid w:val="009C73E9"/>
    <w:rsid w:val="009C76B6"/>
    <w:rsid w:val="009D2B6C"/>
    <w:rsid w:val="009E100E"/>
    <w:rsid w:val="009E2DA5"/>
    <w:rsid w:val="009E4812"/>
    <w:rsid w:val="009F0CD4"/>
    <w:rsid w:val="009F1C09"/>
    <w:rsid w:val="009F3212"/>
    <w:rsid w:val="009F5CFD"/>
    <w:rsid w:val="009F70FF"/>
    <w:rsid w:val="00A00873"/>
    <w:rsid w:val="00A058B1"/>
    <w:rsid w:val="00A07977"/>
    <w:rsid w:val="00A12AD5"/>
    <w:rsid w:val="00A13325"/>
    <w:rsid w:val="00A15DF4"/>
    <w:rsid w:val="00A160CC"/>
    <w:rsid w:val="00A21EA9"/>
    <w:rsid w:val="00A225FA"/>
    <w:rsid w:val="00A24F17"/>
    <w:rsid w:val="00A273FC"/>
    <w:rsid w:val="00A30563"/>
    <w:rsid w:val="00A32ABE"/>
    <w:rsid w:val="00A332AA"/>
    <w:rsid w:val="00A34752"/>
    <w:rsid w:val="00A406C1"/>
    <w:rsid w:val="00A41015"/>
    <w:rsid w:val="00A42B5C"/>
    <w:rsid w:val="00A44D06"/>
    <w:rsid w:val="00A45FFB"/>
    <w:rsid w:val="00A516BF"/>
    <w:rsid w:val="00A55B8D"/>
    <w:rsid w:val="00A55E40"/>
    <w:rsid w:val="00A61267"/>
    <w:rsid w:val="00A62515"/>
    <w:rsid w:val="00A6252E"/>
    <w:rsid w:val="00A66BE4"/>
    <w:rsid w:val="00A67501"/>
    <w:rsid w:val="00A67668"/>
    <w:rsid w:val="00A706AC"/>
    <w:rsid w:val="00A71ECE"/>
    <w:rsid w:val="00A72835"/>
    <w:rsid w:val="00A729AE"/>
    <w:rsid w:val="00A75F1B"/>
    <w:rsid w:val="00A76BEC"/>
    <w:rsid w:val="00A7799A"/>
    <w:rsid w:val="00A86B8F"/>
    <w:rsid w:val="00A921A9"/>
    <w:rsid w:val="00A94B06"/>
    <w:rsid w:val="00AA7138"/>
    <w:rsid w:val="00AB2408"/>
    <w:rsid w:val="00AB25BB"/>
    <w:rsid w:val="00AB40DA"/>
    <w:rsid w:val="00AB668B"/>
    <w:rsid w:val="00AC2D6B"/>
    <w:rsid w:val="00AD08D4"/>
    <w:rsid w:val="00AD1362"/>
    <w:rsid w:val="00AD1B49"/>
    <w:rsid w:val="00AD285F"/>
    <w:rsid w:val="00AD35EC"/>
    <w:rsid w:val="00AD4D85"/>
    <w:rsid w:val="00AD5008"/>
    <w:rsid w:val="00AD5A1F"/>
    <w:rsid w:val="00AD6F67"/>
    <w:rsid w:val="00AD73DF"/>
    <w:rsid w:val="00AE0332"/>
    <w:rsid w:val="00AE0A66"/>
    <w:rsid w:val="00AF1756"/>
    <w:rsid w:val="00AF4262"/>
    <w:rsid w:val="00AF596C"/>
    <w:rsid w:val="00AF5B39"/>
    <w:rsid w:val="00AF7C3C"/>
    <w:rsid w:val="00B02755"/>
    <w:rsid w:val="00B032DA"/>
    <w:rsid w:val="00B0493C"/>
    <w:rsid w:val="00B04BE7"/>
    <w:rsid w:val="00B140C1"/>
    <w:rsid w:val="00B14486"/>
    <w:rsid w:val="00B1450C"/>
    <w:rsid w:val="00B20FA9"/>
    <w:rsid w:val="00B227E5"/>
    <w:rsid w:val="00B22F18"/>
    <w:rsid w:val="00B24B0E"/>
    <w:rsid w:val="00B24F2B"/>
    <w:rsid w:val="00B25B23"/>
    <w:rsid w:val="00B26065"/>
    <w:rsid w:val="00B32C53"/>
    <w:rsid w:val="00B32DD9"/>
    <w:rsid w:val="00B37D87"/>
    <w:rsid w:val="00B37F6A"/>
    <w:rsid w:val="00B415D3"/>
    <w:rsid w:val="00B4331D"/>
    <w:rsid w:val="00B437F2"/>
    <w:rsid w:val="00B44A9D"/>
    <w:rsid w:val="00B512F9"/>
    <w:rsid w:val="00B525E9"/>
    <w:rsid w:val="00B52679"/>
    <w:rsid w:val="00B57101"/>
    <w:rsid w:val="00B57CA4"/>
    <w:rsid w:val="00B60038"/>
    <w:rsid w:val="00B6386F"/>
    <w:rsid w:val="00B63EBA"/>
    <w:rsid w:val="00B64E3B"/>
    <w:rsid w:val="00B65076"/>
    <w:rsid w:val="00B7255E"/>
    <w:rsid w:val="00B7515E"/>
    <w:rsid w:val="00B763CB"/>
    <w:rsid w:val="00B772D7"/>
    <w:rsid w:val="00B814E1"/>
    <w:rsid w:val="00B91279"/>
    <w:rsid w:val="00B9172B"/>
    <w:rsid w:val="00B93F96"/>
    <w:rsid w:val="00B96BFC"/>
    <w:rsid w:val="00B972FF"/>
    <w:rsid w:val="00B9747F"/>
    <w:rsid w:val="00BA0E06"/>
    <w:rsid w:val="00BA106F"/>
    <w:rsid w:val="00BA1235"/>
    <w:rsid w:val="00BA3B55"/>
    <w:rsid w:val="00BA6E1F"/>
    <w:rsid w:val="00BB0131"/>
    <w:rsid w:val="00BB31F3"/>
    <w:rsid w:val="00BB42D8"/>
    <w:rsid w:val="00BB51E5"/>
    <w:rsid w:val="00BB5A7B"/>
    <w:rsid w:val="00BC0ABB"/>
    <w:rsid w:val="00BC2B4D"/>
    <w:rsid w:val="00BC3596"/>
    <w:rsid w:val="00BC7B26"/>
    <w:rsid w:val="00BD37DF"/>
    <w:rsid w:val="00BE283D"/>
    <w:rsid w:val="00BE3792"/>
    <w:rsid w:val="00BE7F1D"/>
    <w:rsid w:val="00BF07EC"/>
    <w:rsid w:val="00BF401D"/>
    <w:rsid w:val="00BF47D8"/>
    <w:rsid w:val="00C00ACF"/>
    <w:rsid w:val="00C015B4"/>
    <w:rsid w:val="00C01734"/>
    <w:rsid w:val="00C019E8"/>
    <w:rsid w:val="00C03A80"/>
    <w:rsid w:val="00C0508B"/>
    <w:rsid w:val="00C06DB2"/>
    <w:rsid w:val="00C07D3E"/>
    <w:rsid w:val="00C12246"/>
    <w:rsid w:val="00C12EDD"/>
    <w:rsid w:val="00C149AD"/>
    <w:rsid w:val="00C162BB"/>
    <w:rsid w:val="00C16544"/>
    <w:rsid w:val="00C20A6A"/>
    <w:rsid w:val="00C211F0"/>
    <w:rsid w:val="00C2156B"/>
    <w:rsid w:val="00C21C3E"/>
    <w:rsid w:val="00C22FFA"/>
    <w:rsid w:val="00C24965"/>
    <w:rsid w:val="00C30DE3"/>
    <w:rsid w:val="00C3230F"/>
    <w:rsid w:val="00C3532D"/>
    <w:rsid w:val="00C43078"/>
    <w:rsid w:val="00C46DA6"/>
    <w:rsid w:val="00C51B25"/>
    <w:rsid w:val="00C51E75"/>
    <w:rsid w:val="00C522E9"/>
    <w:rsid w:val="00C52B10"/>
    <w:rsid w:val="00C55583"/>
    <w:rsid w:val="00C55EAB"/>
    <w:rsid w:val="00C56560"/>
    <w:rsid w:val="00C57227"/>
    <w:rsid w:val="00C57BBD"/>
    <w:rsid w:val="00C57C1F"/>
    <w:rsid w:val="00C62815"/>
    <w:rsid w:val="00C6354A"/>
    <w:rsid w:val="00C6384C"/>
    <w:rsid w:val="00C63945"/>
    <w:rsid w:val="00C713DA"/>
    <w:rsid w:val="00C7451C"/>
    <w:rsid w:val="00C75C70"/>
    <w:rsid w:val="00C80C31"/>
    <w:rsid w:val="00C80C35"/>
    <w:rsid w:val="00C8196F"/>
    <w:rsid w:val="00C82927"/>
    <w:rsid w:val="00C82DF3"/>
    <w:rsid w:val="00C82FFA"/>
    <w:rsid w:val="00C8490A"/>
    <w:rsid w:val="00C855A8"/>
    <w:rsid w:val="00C859CF"/>
    <w:rsid w:val="00C85BA8"/>
    <w:rsid w:val="00C90C26"/>
    <w:rsid w:val="00C9135D"/>
    <w:rsid w:val="00C91762"/>
    <w:rsid w:val="00C92615"/>
    <w:rsid w:val="00C9385B"/>
    <w:rsid w:val="00C93E07"/>
    <w:rsid w:val="00C94AE4"/>
    <w:rsid w:val="00C9537B"/>
    <w:rsid w:val="00C96F0D"/>
    <w:rsid w:val="00CA095B"/>
    <w:rsid w:val="00CA245C"/>
    <w:rsid w:val="00CA29A2"/>
    <w:rsid w:val="00CA6BF0"/>
    <w:rsid w:val="00CA7D06"/>
    <w:rsid w:val="00CB0B34"/>
    <w:rsid w:val="00CC0A99"/>
    <w:rsid w:val="00CC23C4"/>
    <w:rsid w:val="00CC372C"/>
    <w:rsid w:val="00CC3BBF"/>
    <w:rsid w:val="00CC46A8"/>
    <w:rsid w:val="00CD2CA8"/>
    <w:rsid w:val="00CD5D89"/>
    <w:rsid w:val="00CD6F8B"/>
    <w:rsid w:val="00CD7332"/>
    <w:rsid w:val="00CD7D16"/>
    <w:rsid w:val="00CE2190"/>
    <w:rsid w:val="00CE2F55"/>
    <w:rsid w:val="00CE4501"/>
    <w:rsid w:val="00CF034A"/>
    <w:rsid w:val="00CF0B6B"/>
    <w:rsid w:val="00CF18B9"/>
    <w:rsid w:val="00CF377B"/>
    <w:rsid w:val="00CF470C"/>
    <w:rsid w:val="00CF4993"/>
    <w:rsid w:val="00D000DE"/>
    <w:rsid w:val="00D017F1"/>
    <w:rsid w:val="00D03FAA"/>
    <w:rsid w:val="00D1206B"/>
    <w:rsid w:val="00D12D51"/>
    <w:rsid w:val="00D21E3D"/>
    <w:rsid w:val="00D22E8E"/>
    <w:rsid w:val="00D23B27"/>
    <w:rsid w:val="00D24ABF"/>
    <w:rsid w:val="00D270AF"/>
    <w:rsid w:val="00D2715F"/>
    <w:rsid w:val="00D30A37"/>
    <w:rsid w:val="00D3182A"/>
    <w:rsid w:val="00D31F8A"/>
    <w:rsid w:val="00D353AF"/>
    <w:rsid w:val="00D3643E"/>
    <w:rsid w:val="00D369A6"/>
    <w:rsid w:val="00D417DC"/>
    <w:rsid w:val="00D42387"/>
    <w:rsid w:val="00D44CD3"/>
    <w:rsid w:val="00D45AD4"/>
    <w:rsid w:val="00D503DD"/>
    <w:rsid w:val="00D51B2B"/>
    <w:rsid w:val="00D521D2"/>
    <w:rsid w:val="00D53AAF"/>
    <w:rsid w:val="00D57475"/>
    <w:rsid w:val="00D60406"/>
    <w:rsid w:val="00D6767B"/>
    <w:rsid w:val="00D72601"/>
    <w:rsid w:val="00D72F84"/>
    <w:rsid w:val="00D75C02"/>
    <w:rsid w:val="00D7682D"/>
    <w:rsid w:val="00D771D8"/>
    <w:rsid w:val="00D77593"/>
    <w:rsid w:val="00D8074D"/>
    <w:rsid w:val="00D80816"/>
    <w:rsid w:val="00D82F16"/>
    <w:rsid w:val="00D83D5A"/>
    <w:rsid w:val="00D841B7"/>
    <w:rsid w:val="00D86ACA"/>
    <w:rsid w:val="00D9176A"/>
    <w:rsid w:val="00D93182"/>
    <w:rsid w:val="00D93B5B"/>
    <w:rsid w:val="00D97846"/>
    <w:rsid w:val="00DA1EEB"/>
    <w:rsid w:val="00DA3847"/>
    <w:rsid w:val="00DA4B5A"/>
    <w:rsid w:val="00DA6802"/>
    <w:rsid w:val="00DB3394"/>
    <w:rsid w:val="00DB52C3"/>
    <w:rsid w:val="00DB6823"/>
    <w:rsid w:val="00DD079F"/>
    <w:rsid w:val="00DD2176"/>
    <w:rsid w:val="00DD3B7E"/>
    <w:rsid w:val="00DD7441"/>
    <w:rsid w:val="00DE02C3"/>
    <w:rsid w:val="00DE0B1C"/>
    <w:rsid w:val="00DE25CF"/>
    <w:rsid w:val="00DE44DD"/>
    <w:rsid w:val="00DE5BC2"/>
    <w:rsid w:val="00DE7ADC"/>
    <w:rsid w:val="00DF0C97"/>
    <w:rsid w:val="00DF42A4"/>
    <w:rsid w:val="00E01FC1"/>
    <w:rsid w:val="00E01FD7"/>
    <w:rsid w:val="00E020B8"/>
    <w:rsid w:val="00E026A2"/>
    <w:rsid w:val="00E03C7A"/>
    <w:rsid w:val="00E05B59"/>
    <w:rsid w:val="00E05FF3"/>
    <w:rsid w:val="00E108A6"/>
    <w:rsid w:val="00E11D01"/>
    <w:rsid w:val="00E14327"/>
    <w:rsid w:val="00E17800"/>
    <w:rsid w:val="00E21B5A"/>
    <w:rsid w:val="00E23247"/>
    <w:rsid w:val="00E23651"/>
    <w:rsid w:val="00E26CB6"/>
    <w:rsid w:val="00E30368"/>
    <w:rsid w:val="00E304B1"/>
    <w:rsid w:val="00E30CE7"/>
    <w:rsid w:val="00E3285E"/>
    <w:rsid w:val="00E37693"/>
    <w:rsid w:val="00E41B3D"/>
    <w:rsid w:val="00E41B6F"/>
    <w:rsid w:val="00E42CD9"/>
    <w:rsid w:val="00E52109"/>
    <w:rsid w:val="00E52F76"/>
    <w:rsid w:val="00E54A6E"/>
    <w:rsid w:val="00E568C9"/>
    <w:rsid w:val="00E60B82"/>
    <w:rsid w:val="00E60E5D"/>
    <w:rsid w:val="00E63C53"/>
    <w:rsid w:val="00E63D8D"/>
    <w:rsid w:val="00E63DDF"/>
    <w:rsid w:val="00E72ED7"/>
    <w:rsid w:val="00E730D1"/>
    <w:rsid w:val="00E75AB5"/>
    <w:rsid w:val="00E77C4E"/>
    <w:rsid w:val="00E84CC4"/>
    <w:rsid w:val="00E867E2"/>
    <w:rsid w:val="00E86E1F"/>
    <w:rsid w:val="00E87803"/>
    <w:rsid w:val="00E914CB"/>
    <w:rsid w:val="00E950E5"/>
    <w:rsid w:val="00E96EAE"/>
    <w:rsid w:val="00EA2EA2"/>
    <w:rsid w:val="00EA32E7"/>
    <w:rsid w:val="00EA3BF6"/>
    <w:rsid w:val="00EA4255"/>
    <w:rsid w:val="00EA5D46"/>
    <w:rsid w:val="00EB0EEB"/>
    <w:rsid w:val="00EB14AF"/>
    <w:rsid w:val="00EB1970"/>
    <w:rsid w:val="00EB34B8"/>
    <w:rsid w:val="00EB38BC"/>
    <w:rsid w:val="00EB5654"/>
    <w:rsid w:val="00EB5C09"/>
    <w:rsid w:val="00EB6335"/>
    <w:rsid w:val="00EC05D1"/>
    <w:rsid w:val="00EC14A9"/>
    <w:rsid w:val="00EC2DB8"/>
    <w:rsid w:val="00EC76E2"/>
    <w:rsid w:val="00ED66B8"/>
    <w:rsid w:val="00ED6D1B"/>
    <w:rsid w:val="00ED6D8C"/>
    <w:rsid w:val="00EE0A59"/>
    <w:rsid w:val="00EE376B"/>
    <w:rsid w:val="00EE3BE5"/>
    <w:rsid w:val="00EE4358"/>
    <w:rsid w:val="00EE6482"/>
    <w:rsid w:val="00EE6BAB"/>
    <w:rsid w:val="00EF209D"/>
    <w:rsid w:val="00EF517D"/>
    <w:rsid w:val="00EF60A6"/>
    <w:rsid w:val="00F008A4"/>
    <w:rsid w:val="00F022D7"/>
    <w:rsid w:val="00F03518"/>
    <w:rsid w:val="00F03B66"/>
    <w:rsid w:val="00F045B2"/>
    <w:rsid w:val="00F12838"/>
    <w:rsid w:val="00F15203"/>
    <w:rsid w:val="00F20892"/>
    <w:rsid w:val="00F24440"/>
    <w:rsid w:val="00F25BA0"/>
    <w:rsid w:val="00F262A0"/>
    <w:rsid w:val="00F26869"/>
    <w:rsid w:val="00F32852"/>
    <w:rsid w:val="00F34F59"/>
    <w:rsid w:val="00F35470"/>
    <w:rsid w:val="00F37BD0"/>
    <w:rsid w:val="00F40FBF"/>
    <w:rsid w:val="00F43357"/>
    <w:rsid w:val="00F55257"/>
    <w:rsid w:val="00F562B8"/>
    <w:rsid w:val="00F57CB7"/>
    <w:rsid w:val="00F6063B"/>
    <w:rsid w:val="00F6364C"/>
    <w:rsid w:val="00F64ECC"/>
    <w:rsid w:val="00F65C82"/>
    <w:rsid w:val="00F661C2"/>
    <w:rsid w:val="00F71070"/>
    <w:rsid w:val="00F7417F"/>
    <w:rsid w:val="00F7480F"/>
    <w:rsid w:val="00F74F65"/>
    <w:rsid w:val="00F80164"/>
    <w:rsid w:val="00F810C3"/>
    <w:rsid w:val="00F81310"/>
    <w:rsid w:val="00F82089"/>
    <w:rsid w:val="00F825F0"/>
    <w:rsid w:val="00F83C71"/>
    <w:rsid w:val="00F923F9"/>
    <w:rsid w:val="00F9404A"/>
    <w:rsid w:val="00F94C7F"/>
    <w:rsid w:val="00FA2CA0"/>
    <w:rsid w:val="00FA5406"/>
    <w:rsid w:val="00FA72F5"/>
    <w:rsid w:val="00FB097B"/>
    <w:rsid w:val="00FB5015"/>
    <w:rsid w:val="00FB546F"/>
    <w:rsid w:val="00FB5752"/>
    <w:rsid w:val="00FC0076"/>
    <w:rsid w:val="00FC23F9"/>
    <w:rsid w:val="00FC2AE5"/>
    <w:rsid w:val="00FC2DAA"/>
    <w:rsid w:val="00FC482F"/>
    <w:rsid w:val="00FC59C2"/>
    <w:rsid w:val="00FC6EB2"/>
    <w:rsid w:val="00FD4121"/>
    <w:rsid w:val="00FD6252"/>
    <w:rsid w:val="00FE0405"/>
    <w:rsid w:val="00FE0977"/>
    <w:rsid w:val="00FE3A13"/>
    <w:rsid w:val="00FE3B33"/>
    <w:rsid w:val="00FE5962"/>
    <w:rsid w:val="00FF2936"/>
    <w:rsid w:val="00FF5B5B"/>
    <w:rsid w:val="00FF63C6"/>
    <w:rsid w:val="00FF7B6E"/>
    <w:rsid w:val="0113642A"/>
    <w:rsid w:val="012A4DD4"/>
    <w:rsid w:val="020A5F07"/>
    <w:rsid w:val="0226669D"/>
    <w:rsid w:val="02396002"/>
    <w:rsid w:val="025836C9"/>
    <w:rsid w:val="027A0F67"/>
    <w:rsid w:val="034D6B10"/>
    <w:rsid w:val="035A671B"/>
    <w:rsid w:val="04030197"/>
    <w:rsid w:val="04E05EB6"/>
    <w:rsid w:val="05C8365B"/>
    <w:rsid w:val="060178C5"/>
    <w:rsid w:val="06755707"/>
    <w:rsid w:val="071B0EC5"/>
    <w:rsid w:val="07A3704F"/>
    <w:rsid w:val="08233672"/>
    <w:rsid w:val="085535DB"/>
    <w:rsid w:val="08A42470"/>
    <w:rsid w:val="090278E5"/>
    <w:rsid w:val="0909637D"/>
    <w:rsid w:val="093168D4"/>
    <w:rsid w:val="09E7711A"/>
    <w:rsid w:val="0B527957"/>
    <w:rsid w:val="0B546DF4"/>
    <w:rsid w:val="0BAF10D7"/>
    <w:rsid w:val="0BCF3804"/>
    <w:rsid w:val="0C000C64"/>
    <w:rsid w:val="0CAF268A"/>
    <w:rsid w:val="0D4343AD"/>
    <w:rsid w:val="0D966794"/>
    <w:rsid w:val="0DF32470"/>
    <w:rsid w:val="0F0460CD"/>
    <w:rsid w:val="0F0C2972"/>
    <w:rsid w:val="0F587009"/>
    <w:rsid w:val="0FA00781"/>
    <w:rsid w:val="0FEB3DA7"/>
    <w:rsid w:val="10037665"/>
    <w:rsid w:val="100F5B75"/>
    <w:rsid w:val="10523A58"/>
    <w:rsid w:val="10A54268"/>
    <w:rsid w:val="10D80401"/>
    <w:rsid w:val="11031178"/>
    <w:rsid w:val="12116D8C"/>
    <w:rsid w:val="12154C59"/>
    <w:rsid w:val="13946135"/>
    <w:rsid w:val="15034315"/>
    <w:rsid w:val="15DC6DDF"/>
    <w:rsid w:val="16131A78"/>
    <w:rsid w:val="162112F4"/>
    <w:rsid w:val="162B2DB0"/>
    <w:rsid w:val="166C5326"/>
    <w:rsid w:val="1732013F"/>
    <w:rsid w:val="175E7186"/>
    <w:rsid w:val="178D18D4"/>
    <w:rsid w:val="17CA65CA"/>
    <w:rsid w:val="184C1DB9"/>
    <w:rsid w:val="18734E23"/>
    <w:rsid w:val="18A729A1"/>
    <w:rsid w:val="19763480"/>
    <w:rsid w:val="19D17583"/>
    <w:rsid w:val="1A5C79D9"/>
    <w:rsid w:val="1AAB2FE1"/>
    <w:rsid w:val="1BA87782"/>
    <w:rsid w:val="1C2D7127"/>
    <w:rsid w:val="1C737230"/>
    <w:rsid w:val="1CA67511"/>
    <w:rsid w:val="1CC7462C"/>
    <w:rsid w:val="1D137555"/>
    <w:rsid w:val="1DC808A2"/>
    <w:rsid w:val="1E061A27"/>
    <w:rsid w:val="1E4075E6"/>
    <w:rsid w:val="1E567219"/>
    <w:rsid w:val="1EA369BB"/>
    <w:rsid w:val="1FC752CE"/>
    <w:rsid w:val="206D78EC"/>
    <w:rsid w:val="209F7BF6"/>
    <w:rsid w:val="21795C9E"/>
    <w:rsid w:val="21907009"/>
    <w:rsid w:val="2194520D"/>
    <w:rsid w:val="222039B6"/>
    <w:rsid w:val="22744EBA"/>
    <w:rsid w:val="22B54604"/>
    <w:rsid w:val="22BD36D9"/>
    <w:rsid w:val="22CA188A"/>
    <w:rsid w:val="22DE5886"/>
    <w:rsid w:val="232371BC"/>
    <w:rsid w:val="2330277A"/>
    <w:rsid w:val="237B69CA"/>
    <w:rsid w:val="2436066C"/>
    <w:rsid w:val="24D10D36"/>
    <w:rsid w:val="25334CF2"/>
    <w:rsid w:val="25F96C70"/>
    <w:rsid w:val="2650046F"/>
    <w:rsid w:val="27084C8D"/>
    <w:rsid w:val="27174C5C"/>
    <w:rsid w:val="28CD09B1"/>
    <w:rsid w:val="28D5230D"/>
    <w:rsid w:val="28DC035B"/>
    <w:rsid w:val="29233D8C"/>
    <w:rsid w:val="29692EF0"/>
    <w:rsid w:val="29E83790"/>
    <w:rsid w:val="29F61A30"/>
    <w:rsid w:val="29F8131F"/>
    <w:rsid w:val="2A113C6B"/>
    <w:rsid w:val="2A6C53AF"/>
    <w:rsid w:val="2AB51923"/>
    <w:rsid w:val="2B155546"/>
    <w:rsid w:val="2B2D2CA0"/>
    <w:rsid w:val="2B617933"/>
    <w:rsid w:val="2DD45655"/>
    <w:rsid w:val="2E921FA7"/>
    <w:rsid w:val="2F58348D"/>
    <w:rsid w:val="2FC86D21"/>
    <w:rsid w:val="30391AE7"/>
    <w:rsid w:val="304E07E8"/>
    <w:rsid w:val="30717AD3"/>
    <w:rsid w:val="308A649E"/>
    <w:rsid w:val="31B85640"/>
    <w:rsid w:val="31B859B9"/>
    <w:rsid w:val="31DF6E03"/>
    <w:rsid w:val="31E8433B"/>
    <w:rsid w:val="32466468"/>
    <w:rsid w:val="327B0795"/>
    <w:rsid w:val="32AC5CA8"/>
    <w:rsid w:val="32C24615"/>
    <w:rsid w:val="331B0BF0"/>
    <w:rsid w:val="33E9761E"/>
    <w:rsid w:val="347D125A"/>
    <w:rsid w:val="34923248"/>
    <w:rsid w:val="34F5037E"/>
    <w:rsid w:val="35680F75"/>
    <w:rsid w:val="35B73417"/>
    <w:rsid w:val="35BF3339"/>
    <w:rsid w:val="36C56482"/>
    <w:rsid w:val="36FB00F6"/>
    <w:rsid w:val="3724764D"/>
    <w:rsid w:val="37D526F5"/>
    <w:rsid w:val="38710670"/>
    <w:rsid w:val="38AA0927"/>
    <w:rsid w:val="3AE813A4"/>
    <w:rsid w:val="3B12036F"/>
    <w:rsid w:val="3BA31F15"/>
    <w:rsid w:val="3CE55188"/>
    <w:rsid w:val="3CEB4A61"/>
    <w:rsid w:val="3D053A7C"/>
    <w:rsid w:val="3D205911"/>
    <w:rsid w:val="3D965F98"/>
    <w:rsid w:val="3DDF1206"/>
    <w:rsid w:val="3E506F79"/>
    <w:rsid w:val="3E665720"/>
    <w:rsid w:val="3EA03D11"/>
    <w:rsid w:val="3F081602"/>
    <w:rsid w:val="405B1B22"/>
    <w:rsid w:val="4080258B"/>
    <w:rsid w:val="409F3642"/>
    <w:rsid w:val="40B33816"/>
    <w:rsid w:val="40C24C47"/>
    <w:rsid w:val="41466223"/>
    <w:rsid w:val="415B0DB3"/>
    <w:rsid w:val="418C47B2"/>
    <w:rsid w:val="42412C6A"/>
    <w:rsid w:val="432128FF"/>
    <w:rsid w:val="43910667"/>
    <w:rsid w:val="439A2D58"/>
    <w:rsid w:val="43C273A5"/>
    <w:rsid w:val="4484797D"/>
    <w:rsid w:val="44864369"/>
    <w:rsid w:val="44B5583E"/>
    <w:rsid w:val="460F007E"/>
    <w:rsid w:val="467266A5"/>
    <w:rsid w:val="46A64743"/>
    <w:rsid w:val="470D2ED2"/>
    <w:rsid w:val="47DA3E49"/>
    <w:rsid w:val="4805252D"/>
    <w:rsid w:val="488F1634"/>
    <w:rsid w:val="497E6003"/>
    <w:rsid w:val="49936ACF"/>
    <w:rsid w:val="49B3654B"/>
    <w:rsid w:val="49DE4FBF"/>
    <w:rsid w:val="4A196CF5"/>
    <w:rsid w:val="4BC54D4A"/>
    <w:rsid w:val="4BCD1C09"/>
    <w:rsid w:val="4C4C093B"/>
    <w:rsid w:val="4CDD5E7C"/>
    <w:rsid w:val="4ECF7A46"/>
    <w:rsid w:val="4F2C50DD"/>
    <w:rsid w:val="4FDE06E4"/>
    <w:rsid w:val="50A92400"/>
    <w:rsid w:val="50D75763"/>
    <w:rsid w:val="512A3F7C"/>
    <w:rsid w:val="515A068C"/>
    <w:rsid w:val="516F66B9"/>
    <w:rsid w:val="51C5100C"/>
    <w:rsid w:val="52522E25"/>
    <w:rsid w:val="5333683C"/>
    <w:rsid w:val="5358625C"/>
    <w:rsid w:val="5429285D"/>
    <w:rsid w:val="542D7E6E"/>
    <w:rsid w:val="554859C7"/>
    <w:rsid w:val="55F84694"/>
    <w:rsid w:val="564338B3"/>
    <w:rsid w:val="56704C24"/>
    <w:rsid w:val="577542D7"/>
    <w:rsid w:val="579D3709"/>
    <w:rsid w:val="57C116FD"/>
    <w:rsid w:val="58212C26"/>
    <w:rsid w:val="583560FA"/>
    <w:rsid w:val="583C439E"/>
    <w:rsid w:val="58DD20C8"/>
    <w:rsid w:val="58F033DB"/>
    <w:rsid w:val="58FC7EC5"/>
    <w:rsid w:val="59727B45"/>
    <w:rsid w:val="59797261"/>
    <w:rsid w:val="5A0B6E55"/>
    <w:rsid w:val="5A566066"/>
    <w:rsid w:val="5AA71877"/>
    <w:rsid w:val="5ABA4706"/>
    <w:rsid w:val="5AD316B0"/>
    <w:rsid w:val="5B092532"/>
    <w:rsid w:val="5B2E1E00"/>
    <w:rsid w:val="5BC53AEC"/>
    <w:rsid w:val="5BDB42AF"/>
    <w:rsid w:val="5C235182"/>
    <w:rsid w:val="5CB21EF1"/>
    <w:rsid w:val="5D7C21BE"/>
    <w:rsid w:val="5DBB0727"/>
    <w:rsid w:val="5DC37AC4"/>
    <w:rsid w:val="5E094591"/>
    <w:rsid w:val="5ED67D51"/>
    <w:rsid w:val="5F3166E0"/>
    <w:rsid w:val="5F7007BC"/>
    <w:rsid w:val="60D25C63"/>
    <w:rsid w:val="60DA0839"/>
    <w:rsid w:val="60F159D0"/>
    <w:rsid w:val="61085A61"/>
    <w:rsid w:val="612F3956"/>
    <w:rsid w:val="61466995"/>
    <w:rsid w:val="62291708"/>
    <w:rsid w:val="6266506B"/>
    <w:rsid w:val="627E7362"/>
    <w:rsid w:val="633D790B"/>
    <w:rsid w:val="6396590D"/>
    <w:rsid w:val="63E33FC0"/>
    <w:rsid w:val="64283A29"/>
    <w:rsid w:val="64E32240"/>
    <w:rsid w:val="65A80EF1"/>
    <w:rsid w:val="66162066"/>
    <w:rsid w:val="66A55C6C"/>
    <w:rsid w:val="68C12039"/>
    <w:rsid w:val="68DF1251"/>
    <w:rsid w:val="690D691D"/>
    <w:rsid w:val="6A6012A2"/>
    <w:rsid w:val="6A9B55F4"/>
    <w:rsid w:val="6B080110"/>
    <w:rsid w:val="6B660E04"/>
    <w:rsid w:val="6CAE6BDD"/>
    <w:rsid w:val="6D8D5B22"/>
    <w:rsid w:val="6DAE7F8B"/>
    <w:rsid w:val="6E63685A"/>
    <w:rsid w:val="6ECB4234"/>
    <w:rsid w:val="6EEB1F23"/>
    <w:rsid w:val="6EF36441"/>
    <w:rsid w:val="6F963B26"/>
    <w:rsid w:val="70BF3967"/>
    <w:rsid w:val="70E028ED"/>
    <w:rsid w:val="71753EC1"/>
    <w:rsid w:val="71910EA7"/>
    <w:rsid w:val="71F25676"/>
    <w:rsid w:val="72BB1F0C"/>
    <w:rsid w:val="73021C35"/>
    <w:rsid w:val="735407A1"/>
    <w:rsid w:val="735A06F5"/>
    <w:rsid w:val="73F36AC2"/>
    <w:rsid w:val="748719CF"/>
    <w:rsid w:val="74E56D0A"/>
    <w:rsid w:val="756D259D"/>
    <w:rsid w:val="76632E71"/>
    <w:rsid w:val="76DD06A3"/>
    <w:rsid w:val="771C3127"/>
    <w:rsid w:val="77E026CD"/>
    <w:rsid w:val="77E35841"/>
    <w:rsid w:val="77F61967"/>
    <w:rsid w:val="786F1790"/>
    <w:rsid w:val="78AE679B"/>
    <w:rsid w:val="78AE727B"/>
    <w:rsid w:val="78CE0BEB"/>
    <w:rsid w:val="791F64F9"/>
    <w:rsid w:val="797846B3"/>
    <w:rsid w:val="797E5812"/>
    <w:rsid w:val="79AF1D3D"/>
    <w:rsid w:val="7B2E475C"/>
    <w:rsid w:val="7C3D4E02"/>
    <w:rsid w:val="7CC63338"/>
    <w:rsid w:val="7D000695"/>
    <w:rsid w:val="7D2D3A06"/>
    <w:rsid w:val="7DBC7C88"/>
    <w:rsid w:val="7EE142ED"/>
    <w:rsid w:val="7F785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3"/>
    <w:next w:val="1"/>
    <w:link w:val="22"/>
    <w:qFormat/>
    <w:uiPriority w:val="9"/>
    <w:pPr>
      <w:numPr>
        <w:ilvl w:val="0"/>
      </w:numPr>
      <w:spacing w:line="360" w:lineRule="auto"/>
      <w:outlineLvl w:val="0"/>
    </w:pPr>
    <w:rPr>
      <w:rFonts w:ascii="黑体" w:hAnsi="黑体" w:eastAsia="黑体" w:cs="Times New Roman"/>
      <w:b/>
      <w:bCs/>
      <w:color w:val="auto"/>
      <w:sz w:val="32"/>
      <w:szCs w:val="32"/>
    </w:rPr>
  </w:style>
  <w:style w:type="paragraph" w:styleId="3">
    <w:name w:val="heading 2"/>
    <w:basedOn w:val="1"/>
    <w:next w:val="1"/>
    <w:link w:val="23"/>
    <w:unhideWhenUsed/>
    <w:qFormat/>
    <w:uiPriority w:val="9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24"/>
    <w:unhideWhenUsed/>
    <w:qFormat/>
    <w:uiPriority w:val="9"/>
    <w:pPr>
      <w:keepNext/>
      <w:keepLines/>
      <w:numPr>
        <w:ilvl w:val="2"/>
        <w:numId w:val="1"/>
      </w:numPr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5"/>
    <w:semiHidden/>
    <w:unhideWhenUsed/>
    <w:qFormat/>
    <w:uiPriority w:val="9"/>
    <w:pPr>
      <w:keepNext/>
      <w:keepLines/>
      <w:numPr>
        <w:ilvl w:val="3"/>
        <w:numId w:val="1"/>
      </w:numPr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6"/>
    <w:semiHidden/>
    <w:unhideWhenUsed/>
    <w:qFormat/>
    <w:uiPriority w:val="9"/>
    <w:pPr>
      <w:keepNext/>
      <w:keepLines/>
      <w:numPr>
        <w:ilvl w:val="4"/>
        <w:numId w:val="1"/>
      </w:numPr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7"/>
    <w:semiHidden/>
    <w:unhideWhenUsed/>
    <w:qFormat/>
    <w:uiPriority w:val="9"/>
    <w:pPr>
      <w:keepNext/>
      <w:keepLines/>
      <w:numPr>
        <w:ilvl w:val="5"/>
        <w:numId w:val="1"/>
      </w:numPr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8"/>
    <w:semiHidden/>
    <w:unhideWhenUsed/>
    <w:qFormat/>
    <w:uiPriority w:val="9"/>
    <w:pPr>
      <w:keepNext/>
      <w:keepLines/>
      <w:numPr>
        <w:ilvl w:val="6"/>
        <w:numId w:val="1"/>
      </w:numPr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9"/>
    <w:semiHidden/>
    <w:unhideWhenUsed/>
    <w:qFormat/>
    <w:uiPriority w:val="9"/>
    <w:pPr>
      <w:keepNext/>
      <w:keepLines/>
      <w:numPr>
        <w:ilvl w:val="7"/>
        <w:numId w:val="1"/>
      </w:numPr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30"/>
    <w:semiHidden/>
    <w:unhideWhenUsed/>
    <w:qFormat/>
    <w:uiPriority w:val="9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link w:val="43"/>
    <w:unhideWhenUsed/>
    <w:qFormat/>
    <w:uiPriority w:val="99"/>
  </w:style>
  <w:style w:type="paragraph" w:styleId="12">
    <w:name w:val="footer"/>
    <w:basedOn w:val="1"/>
    <w:link w:val="41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3">
    <w:name w:val="header"/>
    <w:basedOn w:val="1"/>
    <w:link w:val="40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32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 w:line="240" w:lineRule="auto"/>
    </w:pPr>
    <w:rPr>
      <w:rFonts w:ascii="宋体" w:hAnsi="宋体" w:eastAsia="宋体" w:cs="宋体"/>
      <w:kern w:val="0"/>
      <w:sz w:val="24"/>
      <w14:ligatures w14:val="none"/>
    </w:rPr>
  </w:style>
  <w:style w:type="paragraph" w:styleId="16">
    <w:name w:val="Title"/>
    <w:basedOn w:val="1"/>
    <w:next w:val="1"/>
    <w:link w:val="31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7">
    <w:name w:val="annotation subject"/>
    <w:basedOn w:val="11"/>
    <w:next w:val="11"/>
    <w:link w:val="44"/>
    <w:semiHidden/>
    <w:unhideWhenUsed/>
    <w:qFormat/>
    <w:uiPriority w:val="99"/>
    <w:rPr>
      <w:b/>
      <w:bCs/>
    </w:rPr>
  </w:style>
  <w:style w:type="table" w:styleId="19">
    <w:name w:val="Table Grid"/>
    <w:basedOn w:val="18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annotation reference"/>
    <w:basedOn w:val="20"/>
    <w:semiHidden/>
    <w:unhideWhenUsed/>
    <w:qFormat/>
    <w:uiPriority w:val="99"/>
    <w:rPr>
      <w:sz w:val="21"/>
      <w:szCs w:val="21"/>
    </w:rPr>
  </w:style>
  <w:style w:type="character" w:customStyle="1" w:styleId="22">
    <w:name w:val="标题 1 字符"/>
    <w:basedOn w:val="20"/>
    <w:link w:val="2"/>
    <w:qFormat/>
    <w:uiPriority w:val="9"/>
    <w:rPr>
      <w:rFonts w:ascii="黑体" w:hAnsi="黑体" w:eastAsia="黑体" w:cs="Times New Roman"/>
      <w:b/>
      <w:bCs/>
      <w:sz w:val="32"/>
      <w:szCs w:val="32"/>
    </w:rPr>
  </w:style>
  <w:style w:type="character" w:customStyle="1" w:styleId="23">
    <w:name w:val="标题 2 字符"/>
    <w:basedOn w:val="20"/>
    <w:link w:val="3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4">
    <w:name w:val="标题 3 字符"/>
    <w:basedOn w:val="20"/>
    <w:link w:val="4"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5">
    <w:name w:val="标题 4 字符"/>
    <w:basedOn w:val="20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6">
    <w:name w:val="标题 5 字符"/>
    <w:basedOn w:val="20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7">
    <w:name w:val="标题 6 字符"/>
    <w:basedOn w:val="20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8">
    <w:name w:val="标题 7 字符"/>
    <w:basedOn w:val="20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标题 8 字符"/>
    <w:basedOn w:val="20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0">
    <w:name w:val="标题 9 字符"/>
    <w:basedOn w:val="20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1">
    <w:name w:val="标题 字符"/>
    <w:basedOn w:val="20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2">
    <w:name w:val="副标题 字符"/>
    <w:basedOn w:val="20"/>
    <w:link w:val="14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3">
    <w:name w:val="Quote"/>
    <w:basedOn w:val="1"/>
    <w:next w:val="1"/>
    <w:link w:val="34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4">
    <w:name w:val="引用 字符"/>
    <w:basedOn w:val="20"/>
    <w:link w:val="33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5">
    <w:name w:val="List Paragraph"/>
    <w:basedOn w:val="1"/>
    <w:qFormat/>
    <w:uiPriority w:val="34"/>
    <w:pPr>
      <w:ind w:left="720"/>
      <w:contextualSpacing/>
    </w:pPr>
  </w:style>
  <w:style w:type="character" w:customStyle="1" w:styleId="36">
    <w:name w:val="明显强调1"/>
    <w:basedOn w:val="20"/>
    <w:qFormat/>
    <w:uiPriority w:val="21"/>
    <w:rPr>
      <w:i/>
      <w:iCs/>
      <w:color w:val="2F5597" w:themeColor="accent1" w:themeShade="BF"/>
    </w:rPr>
  </w:style>
  <w:style w:type="paragraph" w:styleId="37">
    <w:name w:val="Intense Quote"/>
    <w:basedOn w:val="1"/>
    <w:next w:val="1"/>
    <w:link w:val="38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8">
    <w:name w:val="明显引用 字符"/>
    <w:basedOn w:val="20"/>
    <w:link w:val="37"/>
    <w:qFormat/>
    <w:uiPriority w:val="30"/>
    <w:rPr>
      <w:i/>
      <w:iCs/>
      <w:color w:val="2F5597" w:themeColor="accent1" w:themeShade="BF"/>
    </w:rPr>
  </w:style>
  <w:style w:type="character" w:customStyle="1" w:styleId="39">
    <w:name w:val="明显参考1"/>
    <w:basedOn w:val="20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40">
    <w:name w:val="页眉 字符"/>
    <w:basedOn w:val="20"/>
    <w:link w:val="13"/>
    <w:qFormat/>
    <w:uiPriority w:val="99"/>
    <w:rPr>
      <w:sz w:val="18"/>
      <w:szCs w:val="18"/>
    </w:rPr>
  </w:style>
  <w:style w:type="character" w:customStyle="1" w:styleId="41">
    <w:name w:val="页脚 字符"/>
    <w:basedOn w:val="20"/>
    <w:link w:val="12"/>
    <w:qFormat/>
    <w:uiPriority w:val="99"/>
    <w:rPr>
      <w:sz w:val="18"/>
      <w:szCs w:val="18"/>
    </w:rPr>
  </w:style>
  <w:style w:type="paragraph" w:customStyle="1" w:styleId="42">
    <w:name w:val="修订1"/>
    <w:hidden/>
    <w:semiHidden/>
    <w:qFormat/>
    <w:uiPriority w:val="99"/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character" w:customStyle="1" w:styleId="43">
    <w:name w:val="批注文字 字符"/>
    <w:basedOn w:val="20"/>
    <w:link w:val="11"/>
    <w:qFormat/>
    <w:uiPriority w:val="99"/>
  </w:style>
  <w:style w:type="character" w:customStyle="1" w:styleId="44">
    <w:name w:val="批注主题 字符"/>
    <w:basedOn w:val="43"/>
    <w:link w:val="17"/>
    <w:semiHidden/>
    <w:qFormat/>
    <w:uiPriority w:val="99"/>
    <w:rPr>
      <w:b/>
      <w:bCs/>
    </w:rPr>
  </w:style>
  <w:style w:type="paragraph" w:customStyle="1" w:styleId="45">
    <w:name w:val="1级标题"/>
    <w:basedOn w:val="2"/>
    <w:link w:val="47"/>
    <w:qFormat/>
    <w:uiPriority w:val="0"/>
    <w:pPr>
      <w:numPr>
        <w:numId w:val="2"/>
      </w:numPr>
    </w:pPr>
    <w:rPr>
      <w:rFonts w:ascii="Times New Roman" w:hAnsi="Times New Roman"/>
      <w:sz w:val="40"/>
      <w:szCs w:val="40"/>
    </w:rPr>
  </w:style>
  <w:style w:type="paragraph" w:customStyle="1" w:styleId="46">
    <w:name w:val="2级标题"/>
    <w:basedOn w:val="45"/>
    <w:qFormat/>
    <w:uiPriority w:val="0"/>
    <w:pPr>
      <w:numPr>
        <w:ilvl w:val="1"/>
      </w:numPr>
      <w:outlineLvl w:val="1"/>
    </w:pPr>
    <w:rPr>
      <w:sz w:val="32"/>
      <w:szCs w:val="32"/>
    </w:rPr>
  </w:style>
  <w:style w:type="character" w:customStyle="1" w:styleId="47">
    <w:name w:val="1级标题 Char"/>
    <w:basedOn w:val="20"/>
    <w:link w:val="45"/>
    <w:qFormat/>
    <w:uiPriority w:val="0"/>
    <w:rPr>
      <w:rFonts w:eastAsia="黑体"/>
      <w:b/>
      <w:bCs/>
      <w:kern w:val="2"/>
      <w:sz w:val="40"/>
      <w:szCs w:val="40"/>
      <w14:ligatures w14:val="standardContextual"/>
    </w:rPr>
  </w:style>
  <w:style w:type="paragraph" w:customStyle="1" w:styleId="48">
    <w:name w:val="3级标题"/>
    <w:basedOn w:val="46"/>
    <w:qFormat/>
    <w:uiPriority w:val="0"/>
    <w:pPr>
      <w:numPr>
        <w:ilvl w:val="2"/>
      </w:numPr>
      <w:outlineLvl w:val="2"/>
    </w:pPr>
    <w:rPr>
      <w:sz w:val="28"/>
      <w:szCs w:val="28"/>
    </w:rPr>
  </w:style>
  <w:style w:type="paragraph" w:customStyle="1" w:styleId="49">
    <w:name w:val="4级标题"/>
    <w:basedOn w:val="48"/>
    <w:qFormat/>
    <w:uiPriority w:val="0"/>
    <w:pPr>
      <w:numPr>
        <w:ilvl w:val="3"/>
      </w:numPr>
      <w:ind w:left="864" w:hanging="864"/>
      <w:outlineLvl w:val="3"/>
    </w:pPr>
  </w:style>
  <w:style w:type="paragraph" w:customStyle="1" w:styleId="50">
    <w:name w:val="Revision"/>
    <w:hidden/>
    <w:unhideWhenUsed/>
    <w:qFormat/>
    <w:uiPriority w:val="99"/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AD0D46-1A16-4271-8C17-6A5D7A01771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6962</Words>
  <Characters>10653</Characters>
  <Lines>79</Lines>
  <Paragraphs>22</Paragraphs>
  <TotalTime>3</TotalTime>
  <ScaleCrop>false</ScaleCrop>
  <LinksUpToDate>false</LinksUpToDate>
  <CharactersWithSpaces>10799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2026-09-05T02:26:00Z</dcterms:created>
  <dc:creator>32 ICDC</dc:creator>
  <cp:lastModifiedBy>WPS_yun</cp:lastModifiedBy>
  <dcterms:modified xsi:type="dcterms:W3CDTF">2026-09-19T04:47:40Z</dcterms:modified>
  <cp:revision>585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F8D08590868344A2B9356684C4FDD0E1_13</vt:lpwstr>
  </property>
  <property fmtid="{D5CDD505-2E9C-101B-9397-08002B2CF9AE}" pid="4" name="KSOTemplateDocerSaveRecord">
    <vt:lpwstr>eyJoZGlkIjoiOTAyZjlmMjY0MjlkMzVkZGQ2NmIwYTMxMGZmMzc3YTgiLCJ1c2VySWQiOiI2NzkwMDc5MDQifQ==</vt:lpwstr>
  </property>
</Properties>
</file>