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pPr>
      <w:r>
        <w:t>22 July 2026</w:t>
      </w:r>
    </w:p>
    <w:p>
      <w:pPr>
        <w:widowControl w:val="0"/>
      </w:pPr>
      <w:r>
        <w:t>Editors</w:t>
      </w:r>
    </w:p>
    <w:p>
      <w:pPr>
        <w:widowControl w:val="0"/>
      </w:pPr>
      <w:r>
        <w:t>International Journal of Impotence Research</w:t>
      </w:r>
    </w:p>
    <w:p>
      <w:pPr>
        <w:widowControl w:val="0"/>
      </w:pPr>
      <w:r>
        <w:t>Dear Editors,</w:t>
      </w:r>
    </w:p>
    <w:p>
      <w:pPr>
        <w:widowControl w:val="0"/>
      </w:pPr>
      <w:r>
        <w:t xml:space="preserve">Please consider our Article, “Bidirectional Mendelian randomization of gut microbial traits and erectile dysfunction with cross-cohort exposure validation and multiplicity control,” for publication in the </w:t>
      </w:r>
      <w:r>
        <w:rPr>
          <w:i/>
        </w:rPr>
        <w:t>International Journal of Impotence Research</w:t>
      </w:r>
      <w:r>
        <w:t>.</w:t>
      </w:r>
    </w:p>
    <w:p>
      <w:pPr>
        <w:widowControl w:val="0"/>
      </w:pPr>
      <w:r>
        <w:t>Several recent Mendelian randomization studies, including an IJIR Article, have reported nominal gut microbial taxa associated with erectile dysfunction. Independent evaluation, genome-wide-significant microbial instruments, and complete multiplicity control have nevertheless been limited. We therefore reassessed this question using updated, species-resolved shotgun-metagenomic GWASs from 16 017 Swedish participants, FinnGen R12 erectile dysfunction, exact-label HUNT data, and the 2025 multi-ancestry erectile-dysfunction GWAS.</w:t>
      </w:r>
    </w:p>
    <w:p>
      <w:pPr>
        <w:widowControl w:val="0"/>
      </w:pPr>
      <w:r>
        <w:t>Primary microbial instruments required P&lt;5×10⁻⁸ and F&gt;10. The predefined forward and reverse testing families retained non-estimable rows, and known sample overlap was classified as sensitivity evidence rather than independent outcome replication. We also examined minimum detectable effects, the more stringent source-study-wide microbial thresholds, estimable-only and nested-signal multiplicity corrections, and exact-rsID annotations of the nominal single-SNP loci.</w:t>
      </w:r>
    </w:p>
    <w:p>
      <w:pPr>
        <w:widowControl w:val="0"/>
      </w:pPr>
      <w:r>
        <w:t>No association met the predefined multiplicity-controlled criteria for a robust causal interpretation in either direction. Seven of 218 estimable forward traits and 77 of 1 572 reverse traits had nominal P&lt;0.05, but none passed false-discovery-rate control. The source-study-wide sensitivity was also negative. Same-SNP exposure associations were retrievable for all 97 exact-label HUNT traits, but the two nominal matched traits had weak HUNT associations and no HUNT genome-wide-significant instruments. Their previous HUNT-specific MR estimates used exploratory P&lt;1×10⁻⁵ instruments and are now identified explicitly as exploratory sensitivity analyses, not independent replication. Power analysis further showed that small and moderate effects remain difficult to exclude.</w:t>
      </w:r>
    </w:p>
    <w:p>
      <w:pPr>
        <w:widowControl w:val="0"/>
      </w:pPr>
      <w:r>
        <w:t>This carefully bounded negative result is relevant to IJIR readers because it helps prevent nominal microbial traits from being advanced prematurely as erectile-dysfunction treatment targets. The manuscript does not claim proof of no causal effect and states the limitations from sparse instruments, phenotype scale, ancestry, and available outcome overlap.</w:t>
      </w:r>
    </w:p>
    <w:p>
      <w:pPr>
        <w:widowControl w:val="0"/>
      </w:pPr>
      <w:r>
        <w:t>The work is original, is not under consideration elsewhere, and has been approved by all authors. The authors declare no competing interests. Only publicly available, deidentified GWAS summary statistics were used, so no new participant recruitment or ethical approval was required. The complete v0.3 supplementary data and provenance records accompany the submission. The public reproducibility archive and development repository are available at https://doi.org/10.5281/zenodo.21456670 and https://github.com/DuXC/gut-microbiome-ed-mr; restricted third-party GWAS files are not redistributed.</w:t>
      </w:r>
    </w:p>
    <w:p>
      <w:pPr>
        <w:widowControl w:val="0"/>
      </w:pPr>
      <w:r>
        <w:t>Ming Chen, Chunhui Liu, and Chao Sun are corresponding authors. If the system permits one corresponding author, please use Chao Sun as the submission contact.</w:t>
      </w:r>
    </w:p>
    <w:p>
      <w:pPr>
        <w:widowControl w:val="0"/>
      </w:pPr>
      <w:r>
        <w:t>Corresponding author and primary submission contact: Chao Sun, PhD; Department of Urology, Zhongda Hospital, Southeast University; 87 Dingjiaqiao Road, Nanjing, Jiangsu 210009, China.</w:t>
      </w:r>
    </w:p>
    <w:p>
      <w:pPr>
        <w:widowControl w:val="0"/>
      </w:pPr>
      <w:r>
        <w:t>Email: csun@seu.edu.cn; ORCID: 0000-0003-0538-1239</w:t>
      </w:r>
    </w:p>
    <w:p>
      <w:pPr>
        <w:widowControl w:val="0"/>
      </w:pPr>
      <w:r>
        <w:t>Thank you for your consideration.</w:t>
      </w:r>
    </w:p>
    <w:p>
      <w:pPr>
        <w:widowControl w:val="0"/>
      </w:pPr>
      <w:r>
        <w:t>Sincerely,</w:t>
      </w:r>
    </w:p>
    <w:p>
      <w:pPr>
        <w:widowControl w:val="0"/>
      </w:pPr>
      <w:r>
        <w:t>Xiancheng Du, on behalf of all authors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to International Journal of Impotence Research</dc:title>
  <dc:subject/>
  <dc:creator>Xiancheng Du</dc:creator>
  <cp:keywords/>
  <dc:description>generated by python-docx</dc:description>
  <cp:lastModifiedBy/>
  <cp:revision>1</cp:revision>
  <dcterms:created xsi:type="dcterms:W3CDTF">2013-12-23T23:15:00Z</dcterms:created>
  <dcterms:modified xsi:type="dcterms:W3CDTF">2013-12-23T23:15:00Z</dcterms:modified>
  <cp:category/>
</cp:coreProperties>
</file>