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STROBE-MR checklist</w:t>
      </w:r>
    </w:p>
    <w:p>
      <w:pPr>
        <w:jc w:val="center"/>
      </w:pPr>
      <w:r>
        <w:t>Bidirectional Mendelian randomization of gut microbial traits and erectile dysfunction with cross-cohort exposure validation and multiplicity control</w:t>
      </w:r>
    </w:p>
    <w:p>
      <w:r>
        <w:t>Locations refer to the final rendered v0.3 main manuscript. The checklist records analyses that were completed, not triggered, or non-estimable.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648"/>
            <w:shd w:fill="5267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376"/>
            <w:shd w:fill="52677D"/>
          </w:tcPr>
          <w:p>
            <w:r>
              <w:rPr>
                <w:b/>
                <w:color w:val="FFFFFF"/>
                <w:sz w:val="16"/>
              </w:rPr>
              <w:t>Reporting domain</w:t>
            </w:r>
          </w:p>
        </w:tc>
        <w:tc>
          <w:tcPr>
            <w:tcW w:type="dxa" w:w="3456"/>
            <w:shd w:fill="52677D"/>
          </w:tcPr>
          <w:p>
            <w:r>
              <w:rPr>
                <w:b/>
                <w:color w:val="FFFFFF"/>
                <w:sz w:val="16"/>
              </w:rPr>
              <w:t>Final manuscript page/line</w:t>
            </w:r>
          </w:p>
        </w:tc>
        <w:tc>
          <w:tcPr>
            <w:tcW w:type="dxa" w:w="7200"/>
            <w:shd w:fill="52677D"/>
          </w:tcPr>
          <w:p>
            <w:r>
              <w:rPr>
                <w:b/>
                <w:color w:val="FFFFFF"/>
                <w:sz w:val="16"/>
              </w:rPr>
              <w:t>Implementation note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Title and abstract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1, lines 2–22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MR design, sources, thresholds, multiplicity, cross-cohort evidence and principal results are stated.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Background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1–2, lines 23–35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Clinical rationale, prior microbiome evidence and reproducibility concerns are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Objectives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2, lines 36–41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Bidirectional multiplicity-controlled reassessment is specified.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4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Study design and data sources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2–3, lines 42–57; Table 1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Summary-data design, cohorts, ancestry, phenotype definitions and evidence roles are reported.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Participants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2–3, lines 43–57; Table 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Source-specific participant numbers and populations are reported.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6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Genetic variants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3, lines 58–69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Selection thresholds, F statistic, clumping and LD reference are specified.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7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Variables and measurement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2–3, lines 43–66; Table 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Microbial and ED phenotypes and non-comparable scales are defined.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8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MR assumptions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3–5, lines 58–111; pp. 8–10, lines 167–215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Relevance is enforced and independence/exclusion restrictions are addressed through design and limitations.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9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Statistical methods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4, lines 70–81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Wald ratio, IVW, robust estimators, complete BH families and sensitivity corrections are specified.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10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Missing data and harmonization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3, lines 58–66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Genome build, allele, multiallelic, palindromic and non-estimable handling are described.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Sensitivity analyses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3–5, lines 67–111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HUNT, ED ancestry, source-threshold, multiplicity, power and source-heterogeneity analyses are reported.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12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Descriptive data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6, lines 119–131; Table 1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Eligible, estimable, instrument-count and harmonization summaries are given.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Main results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6–7, lines 119–165; Figures 2–3; Table 2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Effect estimates, P values, FDR values and denominators are reported without promoting nominal rows.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14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Additional analyses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6–7, lines 132–165; Supplementary Tables S4–S9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All prespecified analyses are completed, explicitly not triggered, or reported as non-estimable.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Key results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8, lines 167–178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The multiplicity-controlled conclusion is interpreted against the study objectives.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16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Limitations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8–10, lines 179–215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Detectability, sparse instruments, pleiotropy, HUNT scale, ED phenotype, overlap and ancestry are addressed.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17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Interpretation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8, lines 167–181; p. 10, lines 205–215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Conclusions are bounded to tested instruments and do not claim proof of absence.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18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Generalisability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pp. 9–10, lines 185–215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Taxonomy, measurement, phenotype and ancestry transfer limitations are stated.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19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Funding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11, lines 239–243</w:t>
            </w:r>
          </w:p>
        </w:tc>
        <w:tc>
          <w:tcPr>
            <w:tcW w:type="dxa" w:w="720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Grant numbers, recipients and funder roles are disclosed.</w:t>
            </w:r>
          </w:p>
        </w:tc>
      </w:tr>
      <w:tr>
        <w:tc>
          <w:tcPr>
            <w:tcW w:type="dxa" w:w="648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20</w:t>
            </w:r>
          </w:p>
        </w:tc>
        <w:tc>
          <w:tcPr>
            <w:tcW w:type="dxa" w:w="237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Data, code and transparency</w:t>
            </w:r>
          </w:p>
        </w:tc>
        <w:tc>
          <w:tcPr>
            <w:tcW w:type="dxa" w:w="3456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p. 5, lines 112–117; p. 10, lines 216–224; Supplementary Table S10</w:t>
            </w:r>
          </w:p>
        </w:tc>
        <w:tc>
          <w:tcPr>
            <w:tcW w:type="dxa" w:w="7200"/>
            <w:shd w:fill="F3F6F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6"/>
              </w:rPr>
              <w:t>Source access, public archive status, provenance records and LLM use are disclosed.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STROBE-MR checklist v0.3</dc:title>
  <dc:subject/>
  <dc:creator>Xiancheng Du et al.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