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STROBE-MR checklist</w:t>
      </w:r>
    </w:p>
    <w:p>
      <w:pPr>
        <w:jc w:val="center"/>
      </w:pPr>
      <w:r>
        <w:t>Bidirectional Mendelian randomization of gut microbiota and erectile dysfunction with independent replication and multiplicity control</w:t>
      </w:r>
    </w:p>
    <w:p>
      <w:r>
        <w:t>This author-prepared checklist maps the manuscript to the STROBE-MR reporting domains. Page and line numbers should be refreshed from the final accepted-layout manuscript immediately before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48"/>
            <w:shd w:fill="5267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944"/>
            <w:shd w:fill="52677D"/>
          </w:tcPr>
          <w:p>
            <w:r>
              <w:rPr>
                <w:b/>
                <w:color w:val="FFFFFF"/>
              </w:rPr>
              <w:t>Reporting domain</w:t>
            </w:r>
          </w:p>
        </w:tc>
        <w:tc>
          <w:tcPr>
            <w:tcW w:type="dxa" w:w="3096"/>
            <w:shd w:fill="52677D"/>
          </w:tcPr>
          <w:p>
            <w:r>
              <w:rPr>
                <w:b/>
                <w:color w:val="FFFFFF"/>
              </w:rPr>
              <w:t>Manuscript location</w:t>
            </w:r>
          </w:p>
        </w:tc>
        <w:tc>
          <w:tcPr>
            <w:tcW w:type="dxa" w:w="4680"/>
            <w:shd w:fill="52677D"/>
          </w:tcPr>
          <w:p>
            <w:r>
              <w:rPr>
                <w:b/>
                <w:color w:val="FFFFFF"/>
              </w:rPr>
              <w:t>Implementation note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Title and abstract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Title; Abstract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MR design, directions, sources, instrument criteria, multiplicity and principal results stated.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Background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Introduction, paragraphs 1–3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Clinical rationale, prior evidence and reproducibility problem described.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Objectives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Introduction, final paragraph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Bidirectional, error-controlled reassessment stated.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Study design and data sources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Methods: Study design; GWAS data sources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Summary-data design, cohorts, ancestry, phenotype and evidence roles specified.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Participants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Methods: GWAS data sources; Table 1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Source-specific sample sizes and participant populations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Genetic variants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Methods: Instrument construction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Selection threshold, F statistic, clumping and LD reference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Variables and measurement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Methods: GWAS data sources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Microbial phenotypes, ED definitions and effect scales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MR assumptions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Methods; Discussion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Relevance enforced; independence/exclusion assessed through design and bounded sensitivity interpretation.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Statistical methods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Methods: MR estimation, sensitivity analyses, and multiplicity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Wald ratio, IVW, robust estimators, directionality, pleiotropy and multiplicity prespecified.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Missing data and harmonization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Methods: Instrument construction and harmonization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Build, allele, multiallelic and palindromic handling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Sensitivity analyses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Methods; Results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HUNT validation, known-overlap ED sensitivity, robust methods and failure handling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Descriptive data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Results: Instrument and harmonization geometry; Supplementary Data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Eligible, estimable and harmonized counts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Main results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Results: Forward and reverse analyses; Figure 2; Table 2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Effect estimates, P values, FDR results and expected nominal counts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Additional analyses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Results; Supplementary Data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Replication results, instrument inventory and method-status records supplied.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Key results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Discussion, paragraph 1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Results interpreted against objectives without promoting nominal findings.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Limitations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Discussion, paragraphs 3–4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Sparse instruments, pleiotropy, matching, phenotype, overlap and ancestry limitations described.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Interpretation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Discussion, final paragraph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Conclusions bounded to tested instruments, traits and populations.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Generalisability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Discussion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European-ancestry dominance and taxonomy/measurement transfer limitations stated.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Funding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Funding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Grant numbers, recipients and funder role stated.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Data, code and transparency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Data availability; Software, reproducibility, and LLM use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Source terms, public version DOI, hash receipts and LLM role reported.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