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24 July 2026</w:t>
      </w:r>
    </w:p>
    <w:p>
      <w:pPr>
        <w:widowControl w:val="0"/>
      </w:pPr>
      <w:r>
        <w:t>Editors</w:t>
      </w:r>
    </w:p>
    <w:p>
      <w:pPr>
        <w:widowControl w:val="0"/>
      </w:pPr>
      <w:r>
        <w:t>International Journal of Impotence Research</w:t>
      </w:r>
    </w:p>
    <w:p>
      <w:pPr>
        <w:widowControl w:val="0"/>
      </w:pPr>
      <w:r>
        <w:t>Dear Editors,</w:t>
      </w:r>
    </w:p>
    <w:p>
      <w:pPr>
        <w:widowControl w:val="0"/>
      </w:pPr>
      <w:r>
        <w:t xml:space="preserve">Please consider our Article, “Bidirectional Mendelian randomization of gut microbial traits and erectile dysfunction with cross-cohort same-SNP evaluation and multiplicity control,” for publication in the </w:t>
      </w:r>
      <w:r>
        <w:rPr>
          <w:i/>
        </w:rPr>
        <w:t>International Journal of Impotence Research</w:t>
      </w:r>
      <w:r>
        <w:t>.</w:t>
      </w:r>
    </w:p>
    <w:p>
      <w:pPr>
        <w:widowControl w:val="0"/>
      </w:pPr>
      <w:r>
        <w:t>Prior MR studies, including an IJIR Article, reported nominal gut microbial taxa associated with erectile dysfunction. We reassessed this question using Swedish shotgun-metagenomic GWASs, FinnGen R12, HUNT, and the 2025 multi-ancestry ED GWAS. Primary instruments required P&lt;5×10⁻⁸ and F&gt;10; multiplicity and evidence-role criteria were finalized before screening.</w:t>
      </w:r>
    </w:p>
    <w:p>
      <w:pPr>
        <w:widowControl w:val="0"/>
      </w:pPr>
      <w:r>
        <w:t>The primary FinnGen analysis yielded seven nominal forward rows among 218 estimable traits, but no association passed false-discovery-rate control; no reverse association passed FDR among 1 572 traits. Each 2025 outcome was evaluated as a separate 230-trait family with non-estimable rows retained at P=1. The European and cross-ancestry sensitivities each yielded the same eight FDR rows, driven by three highly correlated SNPs within one chr2q21 lactase-persistence region. Both outcomes include FinnGen and therefore do not provide independent replication. The non-overlapping African-ancestry sensitivity yielded no FDR association, but only two of the eight rows were estimable.</w:t>
      </w:r>
    </w:p>
    <w:p>
      <w:pPr>
        <w:widowControl w:val="0"/>
      </w:pPr>
      <w:r>
        <w:t>This is not a wholly negative report. After the alternative-outcome signals appeared, a targeted post hoc audit compressed the eight rows to one LCT/MCM6 locus; exact-rsID annotation supported broad dietary, metabolic, haematological, and microbiome pleiotropy. This audit was explanatory rather than part of the prespecified multiplicity criteria and did not create a new causal claim. HUNT supplied an independent exposure cohort, but only a cross-cohort same-SNP evaluation: 76/97 rows and 69/90 unique SNPs were direction-concordant, while both focal associations were weak without genome-wide-significant HUNT instruments.</w:t>
      </w:r>
    </w:p>
    <w:p>
      <w:pPr>
        <w:widowControl w:val="0"/>
      </w:pPr>
      <w:r>
        <w:t>No trait met the prespecified primary criteria for robust causal interpretation, and the locus audit further limited signal specificity. This structure should help IJIR readers interpret discordant microbiome–ED findings without dismissing corrected sensitivities or advancing single-variant taxa prematurely as treatment targets.</w:t>
      </w:r>
    </w:p>
    <w:p>
      <w:pPr>
        <w:widowControl w:val="0"/>
      </w:pPr>
      <w:r>
        <w:t>The work is original, is not under consideration elsewhere, and was approved by all authors. The authors declare no competing interests. Only deidentified summary statistics were used. The complete submission-associated code, frozen outputs, derived audits, provenance records, and supplementary materials are archived in GitHub release v0.3.4 and Zenodo (version DOI 10.5281/zenodo.21538190; concept DOI 10.5281/zenodo.21456670).</w:t>
      </w:r>
    </w:p>
    <w:p>
      <w:pPr>
        <w:widowControl w:val="0"/>
      </w:pPr>
      <w:r>
        <w:t>Ming Chen, Chunhui Liu, and Chao Sun are corresponding authors. If one is permitted, please use Chao Sun as the submission contact (csun@seu.edu.cn; ORCID: 0000-0003-0538-1239).</w:t>
      </w:r>
    </w:p>
    <w:p>
      <w:pPr>
        <w:widowControl w:val="0"/>
      </w:pPr>
      <w:r>
        <w:t>Thank you for your consideration.</w:t>
      </w:r>
    </w:p>
    <w:p>
      <w:pPr>
        <w:widowControl w:val="0"/>
      </w:pPr>
      <w:r>
        <w:t>Sincerely,</w:t>
      </w:r>
    </w:p>
    <w:p>
      <w:pPr>
        <w:widowControl w:val="0"/>
      </w:pPr>
      <w:r>
        <w:t>Xiancheng Du, on behalf of all authors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Times New Roman"/>
      <w:b/>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to International Journal of Impotence Research</dc:title>
  <dc:subject>International Journal of Impotence Research submission v0.3.4</dc:subject>
  <dc:creator>Xiancheng Du</dc:creator>
  <cp:keywords/>
  <dc:description>generated by python-docx</dc:description>
  <cp:lastModifiedBy>Xiancheng Du</cp:lastModifiedBy>
  <cp:revision>1</cp:revision>
  <dcterms:created xsi:type="dcterms:W3CDTF">2013-12-23T23:15:00Z</dcterms:created>
  <dcterms:modified xsi:type="dcterms:W3CDTF">2013-12-23T23:15:00Z</dcterms:modified>
  <cp:category>Article submission</cp:category>
  <cp:version>v0.3.4</cp:version>
</cp:coreProperties>
</file>