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STROBE-MR checklist</w:t>
      </w:r>
    </w:p>
    <w:p>
      <w:pPr>
        <w:jc w:val="center"/>
      </w:pPr>
      <w:r>
        <w:t>Bidirectional Mendelian randomization of gut microbial traits and erectile dysfunction with cross-cohort same-SNP evaluation and multiplicity control</w:t>
      </w:r>
    </w:p>
    <w:p>
      <w:r>
        <w:t>Locations refer to the final rendered v0.3.4 main manuscript. The checklist records analyses that were completed, not triggered, or non-estimable.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648"/>
            <w:shd w:fill="5267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376"/>
            <w:shd w:fill="52677D"/>
          </w:tcPr>
          <w:p>
            <w:r>
              <w:rPr>
                <w:b/>
                <w:color w:val="FFFFFF"/>
                <w:sz w:val="16"/>
              </w:rPr>
              <w:t>Reporting domain</w:t>
            </w:r>
          </w:p>
        </w:tc>
        <w:tc>
          <w:tcPr>
            <w:tcW w:type="dxa" w:w="3456"/>
            <w:shd w:fill="52677D"/>
          </w:tcPr>
          <w:p>
            <w:r>
              <w:rPr>
                <w:b/>
                <w:color w:val="FFFFFF"/>
                <w:sz w:val="16"/>
              </w:rPr>
              <w:t>Final manuscript page/line</w:t>
            </w:r>
          </w:p>
        </w:tc>
        <w:tc>
          <w:tcPr>
            <w:tcW w:type="dxa" w:w="7200"/>
            <w:shd w:fill="52677D"/>
          </w:tcPr>
          <w:p>
            <w:r>
              <w:rPr>
                <w:b/>
                <w:color w:val="FFFFFF"/>
                <w:sz w:val="16"/>
              </w:rPr>
              <w:t>Implementation note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Title and abstract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1, lines 2–23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MR design, sources, thresholds, multiplicity, cross-cohort evidence and principal results are stated.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Background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2, lines 24–36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Clinical rationale, prior microbiome evidence and reproducibility concerns are described.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Objectives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2, lines 37–42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Bidirectional multiplicity-controlled reassessment is specified.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Study design and data sources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2–3, lines 43–65; Table 1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Summary-data design, cohorts, ancestry, phenotype definitions and evidence roles are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Participants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2–3, lines 45–65; Table 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Source-specific participant numbers and populations are reported.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Genetic variants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3–4, lines 66–77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Selection thresholds, F statistic, clumping and LD reference are specified.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Variables and measurement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2–4, lines 45–74; Table 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Microbial and ED phenotypes and non-comparable scales are defined.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MR assumptions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4–6, lines 79–130; pp. 10–12, lines 210–267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Relevance is enforced and independence/exclusion restrictions are addressed through design and limitations.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Statistical methods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4, lines 78–89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Wald ratio, IVW, robust estimators, complete BH families and sensitivity corrections are specified.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Missing data and harmonization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3–4, lines 66–74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Genome build, allele, multiallelic, palindromic and non-estimable handling are described.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Sensitivity analyses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4–6, lines 84–130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Prespecified HUNT, alternative ED outcomes, ancestry transfer, source-threshold, multiplicity, power and source-heterogeneity analyses are separated from the targeted post hoc locus audit.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Descriptive data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7, lines 138–150; Table 1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Eligible, estimable, instrument-count and harmonization summaries are given.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Main results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7–10, lines 138–209; Figures 2–3; Table 2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Effect estimates, P values, FDR values and denominators are reported without promoting nominal rows.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Additional analyses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7–10, lines 151–209; Supplementary Tables S4–S15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All prespecified analyses are completed, explicitly not triggered, or non-estimable; each alternative outcome uses a separate 230-trait BH family, and the explanatory locus audit is labelled post hoc.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Key results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10, lines 210–216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The multiplicity-controlled conclusion is interpreted against the study objectives.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Limitations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10–12, lines 224–262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Detectability, sparse instruments, locus redundancy, pleiotropy, HUNT scale, ED phenotype, overlap and ancestry transportability are addressed.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Interpretation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10–12, lines 210–223 and 244–267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Outcome discordance is acknowledged; the post hoc audit is explanatory rather than part of the original multiplicity criteria, and no proof of absence is claimed.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Generalisability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11–12, lines 244–267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Taxonomy, measurement, phenotype and ancestry transfer limitations are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Funding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14, lines 293–301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Grant numbers, recipients and funder roles are disclosed.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Data, code and transparency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6–7, lines 131–136; pp. 12–13, lines 268–278; Supplementary Tables S10–S15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Source access, public archive status, provenance records and LLM use are disclosed.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  <w:sz w:val="24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STROBE-MR checklist v0.3.4</dc:title>
  <dc:subject>International Journal of Impotence Research submission v0.3.4</dc:subject>
  <dc:creator>Xiancheng Du et al.</dc:creator>
  <cp:keywords/>
  <dc:description>generated by python-docx</dc:description>
  <cp:lastModifiedBy>Xiancheng Du</cp:lastModifiedBy>
  <cp:revision>1</cp:revision>
  <dcterms:created xsi:type="dcterms:W3CDTF">2013-12-23T23:15:00Z</dcterms:created>
  <dcterms:modified xsi:type="dcterms:W3CDTF">2013-12-23T23:15:00Z</dcterms:modified>
  <cp:category>Article submission</cp:category>
  <cp:version>v0.3.4</cp:version>
</cp:coreProperties>
</file>