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color w:val="1f1f1f"/>
        </w:rPr>
      </w:pPr>
      <w:r w:rsidDel="00000000" w:rsidR="00000000" w:rsidRPr="00000000">
        <w:rPr>
          <w:rtl w:val="0"/>
        </w:rPr>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160" w:line="276" w:lineRule="auto"/>
        <w:jc w:val="both"/>
        <w:rPr/>
      </w:pPr>
      <w:bookmarkStart w:colFirst="0" w:colLast="0" w:name="_dvlnka56osk9" w:id="0"/>
      <w:bookmarkEnd w:id="0"/>
      <w:r w:rsidDel="00000000" w:rsidR="00000000" w:rsidRPr="00000000">
        <w:rPr>
          <w:rtl w:val="0"/>
        </w:rPr>
        <w:t xml:space="preserve">Business Intelligence Term Project</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160" w:line="276" w:lineRule="auto"/>
        <w:jc w:val="both"/>
        <w:rPr/>
      </w:pPr>
      <w:bookmarkStart w:colFirst="0" w:colLast="0" w:name="_yoghtm5l6nn3" w:id="1"/>
      <w:bookmarkEnd w:id="1"/>
      <w:r w:rsidDel="00000000" w:rsidR="00000000" w:rsidRPr="00000000">
        <w:rPr>
          <w:rtl w:val="0"/>
        </w:rPr>
        <w:t xml:space="preserve">Literature Review, Research Gap Analysis, and Methodology</w:t>
      </w:r>
    </w:p>
    <w:p w:rsidR="00000000" w:rsidDel="00000000" w:rsidP="00000000" w:rsidRDefault="00000000" w:rsidRPr="00000000" w14:paraId="00000004">
      <w:pPr>
        <w:pStyle w:val="Heading3"/>
        <w:pBdr>
          <w:top w:color="auto" w:space="0" w:sz="0" w:val="none"/>
          <w:left w:color="auto" w:space="0" w:sz="0" w:val="none"/>
          <w:bottom w:color="auto" w:space="0" w:sz="0" w:val="none"/>
          <w:right w:color="auto" w:space="0" w:sz="0" w:val="none"/>
          <w:between w:color="auto" w:space="0" w:sz="0" w:val="none"/>
        </w:pBdr>
        <w:spacing w:after="160" w:line="276" w:lineRule="auto"/>
        <w:jc w:val="both"/>
        <w:rPr/>
      </w:pPr>
      <w:bookmarkStart w:colFirst="0" w:colLast="0" w:name="_gsdrp7p6kfrq" w:id="2"/>
      <w:bookmarkEnd w:id="2"/>
      <w:r w:rsidDel="00000000" w:rsidR="00000000" w:rsidRPr="00000000">
        <w:rPr>
          <w:rtl w:val="0"/>
        </w:rPr>
        <w:t xml:space="preserve">Hafsa Tanveer (29041), Dua Ali Ansari (28649)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520" w:line="276" w:lineRule="auto"/>
        <w:ind w:left="0" w:firstLine="0"/>
        <w:rPr>
          <w:b w:val="1"/>
          <w:bCs w:val="1"/>
          <w:color w:val="1f1f1f"/>
        </w:rPr>
      </w:pPr>
      <w:r w:rsidDel="00000000" w:rsidR="00000000" w:rsidRPr="00000000">
        <w:rPr>
          <w:b w:val="1"/>
          <w:bCs w:val="1"/>
          <w:color w:val="1f1f1f"/>
          <w:rtl w:val="0"/>
        </w:rPr>
        <w:t xml:space="preserve">1.</w:t>
      </w:r>
      <w:r w:rsidDel="00000000" w:rsidR="00000000" w:rsidRPr="00000000">
        <w:rPr>
          <w:b w:val="1"/>
          <w:bCs w:val="1"/>
          <w:color w:val="1f1f1f"/>
          <w:rtl w:val="0"/>
        </w:rPr>
        <w:t xml:space="preserve">Literature Review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b w:val="1"/>
          <w:bCs w:val="1"/>
          <w:color w:val="1f1f1f"/>
        </w:rPr>
      </w:pPr>
      <w:r w:rsidDel="00000000" w:rsidR="00000000" w:rsidRPr="00000000">
        <w:rPr>
          <w:b w:val="1"/>
          <w:bCs w:val="1"/>
          <w:color w:val="1f1f1f"/>
          <w:rtl w:val="0"/>
        </w:rPr>
        <w:t xml:space="preserve">1.1 Event-Driven Forecasting and Diplomatic Tone as an Early Warning Signal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The use of large-scale event databases for conflict prediction has grown substantially since the introduction of the Global Database of Events, Language, and Tone (GDELT). Pioneered by Leetaru and Schrodt (2013), GDELT encodes news-based diplomatic events in near real-time, capturing actor relationships, geographic context, and tonality scores drawn from global media. A central metric in this framework is the Goldstein scale, a continuous numerical score that quantifies whether an event between two state actors is cooperative or conflictual in nature. Research has demonstrated that fluctuations in the Goldstein scale — particularly sustained downward movement toward conflictual values — function as leading indicators of diplomatic deterioration, preceding observable escalation events by one to three weeks. This body of work establishes the empirical basis for treating the Goldstein score not merely as a retrospective descriptor of events, but as a forward-looking warning signal.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The present project draws directly on this tradition, extracting daily Goldstein scale values and media tone indices from GDELT for actor codes USA, IRN, and PAK across the period of active negotiations. Critically, our review of the existing literature revealed a significant and underexplored application: most prior studies that leverage the Goldstein scale do so to study bilateral relationships between the two parties directly in conflict. Far less attention has been paid to the Goldstein dynamics of a third-party mediator — in this case, Pakistan — and how the mediator's own cooperative or conflictual score with each principal party may signal shifts in negotiation momentum. This directional gap in the literature motivates a core analytical choice in the present project: to treat Pakistan's Goldstein score with both the US and Iran as an independent predictive variable rather than a contextual background feature.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b w:val="1"/>
          <w:bCs w:val="1"/>
          <w:color w:val="1f1f1f"/>
        </w:rPr>
      </w:pPr>
      <w:r w:rsidDel="00000000" w:rsidR="00000000" w:rsidRPr="00000000">
        <w:rPr>
          <w:b w:val="1"/>
          <w:bCs w:val="1"/>
          <w:color w:val="1f1f1f"/>
          <w:rtl w:val="0"/>
        </w:rPr>
        <w:t xml:space="preserve">1.2 Sub-National Violence Data and the Case for Multi-Source Early Warning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While diplomatic tone data captures the communicative dimension of conflict, it does not independently account for kinetic events on the ground. The Armed Conflict Location and Event Data Project (ACLED), introduced by Raleigh et al. (2010), provides geolocated, sub-national conflict event records with a granularity that earlier databases such as the Correlates of War project could not match. ACLED's event typology — distinguishing between battles, explosions, strategic developments, and riots — allows researchers to track not only whether violence is occurring, but where it is occurring and what form it is taking. ACLED data has been used to demonstrate that spikes in proxy engagement and maritime incidents in the Gulf region preceded broader diplomatic breakdowns with a two-to-four-week lag.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Our review of the conflict prediction literature reveals that studies have tended to rely on either diplomatic tone data or conflict event data, but rarely both in an integrated model. This separation is methodologically limiting. Diplomatic tone can decline without producing kinetic violence, and kinetic incidents can occur in the absence of corresponding shifts in official communication. The two data streams capture distinct but complementary dimensions of conflict risk. The present project addresses this gap by combining ACLED-derived intra- and inter-regional violence counts with GDELT's tone and Goldstein metrics within a unified analytical pipeline. It is this combination — rather than either variable class alone — that we argue provides the most robust basis for predicting escalation risk and for detecting whether diplomatic intervention is producing measurable de-escalation on the ground.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b w:val="1"/>
          <w:bCs w:val="1"/>
          <w:color w:val="1f1f1f"/>
        </w:rPr>
      </w:pPr>
      <w:r w:rsidDel="00000000" w:rsidR="00000000" w:rsidRPr="00000000">
        <w:rPr>
          <w:b w:val="1"/>
          <w:bCs w:val="1"/>
          <w:color w:val="1f1f1f"/>
          <w:rtl w:val="0"/>
        </w:rPr>
        <w:t xml:space="preserve">1.3 Economic Indicators as Conflict Predictors: Oil, Gold, and Geopolitical Risk</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The relationship between commodity markets and geopolitical instability is well-established in the financial economics literature. Past economic studies have quantified the macroeconomic significance of oil price shocks and decomposed crude price movements to isolate a precautionary demand component directly attributable to geopolitical uncertainty. Caldara and Iacoviello (2022) developed the Geopolitical Risk (GPR) Index, demonstrating through newspaper-based text analysis that elevated geopolitical threat perceptions generate measurable upward pressure on Brent crude prices ahead of formal conflict events. Further research has quantified bi-directional spillover between Middle Eastern political instability and global oil market volatility.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Gold prices similarly function as a leading economic stress indicator. Unlike equity markets, gold tends to appreciate during periods of geopolitical uncertainty as investors seek safe-haven assets, a dynamic documented extensively. Our data acquisition strategy incorporates both UAE crude oil prices and Pakistani domestic petrol prices, as well as global monthly gold prices, to capture this dual signal. This granular, regionally-specific commodity focus fills a gap in the prior literature, which has predominantly used Brent crude as a uniform global proxy for energy price stress without accounting for the distinct price transmission dynamics experienced by frontline states such as Pakistan. By pairing commodity price movements with daily GDELT tone scores and ACLED event counts, the present project constructs a multi-signal early warning framework that is more sensitive to the specific economic geography of the US-Iran-Pakistan triangle than existing models allow.</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b w:val="1"/>
          <w:bCs w:val="1"/>
          <w:color w:val="1f1f1f"/>
        </w:rPr>
      </w:pPr>
      <w:r w:rsidDel="00000000" w:rsidR="00000000" w:rsidRPr="00000000">
        <w:rPr>
          <w:b w:val="1"/>
          <w:bCs w:val="1"/>
          <w:color w:val="1f1f1f"/>
          <w:rtl w:val="0"/>
        </w:rPr>
        <w:t xml:space="preserve">1.4 Pakistan's Unique Diplomatic Position: From Qualitative Analysis to Measurable Contribution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Pakistan occupies a structurally distinctive position in the geopolitics of US-Iran relations. It shares a long border with Iran, maintains longstanding security and economic ties with the United States, and has historically pursued a declared policy of strategic neutrality in Gulf affairs. Scholars have analyzed Pakistan's use of shuttle diplomacy and backchannel facilitation as instruments of middle-power foreign policy, arguing that mediation roles simultaneously serve reputational, strategic, and economic interests for states of Pakistan's size and geographic position. These qualitative accounts establish the historical and structural conditions for Pakistan's mediating capacity, but they stop short of any quantitative measurement of its effectiveness.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The gap here is fundamental. No existing study has attempted to correlate Pakistan's specific diplomatic interventions — as recorded in event databases — with measurable outcomes in conflict intensity, energy market volatility, or media tone alignment between the US and Iran. This is not merely a methodological oversight; it has practical consequences. Without quantified evidence linking Pakistani diplomatic activity to downstream outcomes, policymakers and foreign policy analysts lack an empirical basis for evaluating whether Pakistan's mediation adds measurable value or whether observed de-escalation during its mediation windows is coincidental. The present project addresses this gap directly by treating Pakistan's Goldstein score with each principal party as a predictive input variable and by designing the dashboard to annotate diplomatic intervention dates against all economic and conflict KPIs simultaneously, enabling before-and-after comparison at the event level.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276" w:lineRule="auto"/>
        <w:jc w:val="both"/>
        <w:rPr>
          <w:b w:val="1"/>
          <w:bCs w:val="1"/>
          <w:color w:val="1f1f1f"/>
        </w:rPr>
      </w:pPr>
      <w:r w:rsidDel="00000000" w:rsidR="00000000" w:rsidRPr="00000000">
        <w:rPr>
          <w:b w:val="1"/>
          <w:bCs w:val="1"/>
          <w:color w:val="1f1f1f"/>
          <w:rtl w:val="0"/>
        </w:rPr>
        <w:t xml:space="preserve">1.5 Data Gaps and Limitations in the Existing Information Ecosystem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A systematic review of available datasets revealed two structural gaps in the existing information ecosystem that constrain research in this domain and point toward priority areas for future data development. First, no comprehensive, regularly updated international database of prisoner and detainee exchanges exists. Prisoner releases have historically served as both diplomatic confidence-building measures and as signals of negotiation progress in US-Iran relations, yet the absence of a structured, machine-readable record of such exchanges makes it impossible to incorporate this variable systematically into quantitative models. This gap limits the completeness of any event-driven forecasting framework and represents a significant omission in the broader conflict resolution data infrastructure.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1f1f1f"/>
        </w:rPr>
      </w:pPr>
      <w:r w:rsidDel="00000000" w:rsidR="00000000" w:rsidRPr="00000000">
        <w:rPr>
          <w:color w:val="1f1f1f"/>
          <w:rtl w:val="0"/>
        </w:rPr>
        <w:t xml:space="preserve">Second, no standardized international dataset records monthly energy source prices at the country level in a format compatible with automated data pipelines. The IEA publishes aggregate energy price indices, but these do not consistently disaggregate by country or fuel type in a format that supports the kind of granular, regionally specific analysis that the present project requires. This forces researchers to rely on patchwork combinations of national sources — as this project does, combining UAE crude, Pakistani petrol, and global gold price datasets from multiple repositories. Both of these gaps — the absence of a prisoner exchange database and the absence of a harmonized global energy price database by country — represent significant unmet needs in the data infrastructure supporting quantitative conflict and diplomacy research. Future work in this field would benefit substantially from coordinated international efforts to fill them.</w:t>
      </w:r>
    </w:p>
    <w:p w:rsidR="00000000" w:rsidDel="00000000" w:rsidP="00000000" w:rsidRDefault="00000000" w:rsidRPr="00000000" w14:paraId="00000016">
      <w:pPr>
        <w:spacing w:after="120" w:before="120" w:lineRule="auto"/>
        <w:jc w:val="both"/>
        <w:rPr>
          <w:b w:val="1"/>
          <w:bCs w:val="1"/>
          <w:sz w:val="28"/>
          <w:szCs w:val="28"/>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09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