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Project Metadata </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Focus: US-Iran Conflict &amp; Pakistan's Mediation Role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5f636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color w:val="5f6368"/>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8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This document serves as the formal metadata repository and authenticity ledger for the geopolitical Business Intelligence (BI) project analyzing the United States-Iran conflict and Pakistan's strategic mediation efforts. By amalgamating over 1.1 million event records, economic indicators, and military incident reports, this pipeline guarantees verifiable, authoritative data structures for predicting conflict escalation.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8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Authoritative Data Sources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To ensure the highest fidelity of predictive modeling, data was sourced exclusively from recognized international databases, financial monitoring authorities, and government registries.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Economic and Commodity Indicators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Global Monthly Gold Prices:</w:t>
      </w:r>
      <w:r w:rsidDel="00000000" w:rsidR="00000000" w:rsidRPr="00000000">
        <w:rPr>
          <w:rFonts w:ascii="Google Sans" w:cs="Google Sans" w:eastAsia="Google Sans" w:hAnsi="Google Sans"/>
          <w:rtl w:val="0"/>
        </w:rPr>
        <w:t xml:space="preserve"> Aggregated historical pricing in USD since 1833. Data is derived from historical records compiled by Timothy Green, supplemented by World Bank metrics, and sourced from the World Gold Council. The dataset was constrained to the 2018–2026 timeframe to match the conflict baseline (Last updated: March 2026).</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Pakistan Domestic Petrol Prices:</w:t>
      </w:r>
      <w:r w:rsidDel="00000000" w:rsidR="00000000" w:rsidRPr="00000000">
        <w:rPr>
          <w:rFonts w:ascii="Google Sans" w:cs="Google Sans" w:eastAsia="Google Sans" w:hAnsi="Google Sans"/>
          <w:rtl w:val="0"/>
        </w:rPr>
        <w:t xml:space="preserve"> Official retail and wholesale fuel rates provided by the Oil and Gas Regulatory Authority (OGRA) and the Ministry of Energy. This data acts as a proxy for regional economic stress and supply chain shocks.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Dubai Crude Oil (Platts) Financial Futures:</w:t>
      </w:r>
      <w:r w:rsidDel="00000000" w:rsidR="00000000" w:rsidRPr="00000000">
        <w:rPr>
          <w:rFonts w:ascii="Google Sans" w:cs="Google Sans" w:eastAsia="Google Sans" w:hAnsi="Google Sans"/>
          <w:rtl w:val="0"/>
        </w:rPr>
        <w:t xml:space="preserve"> Daily futures pricing reflecting the economic risk premium of Middle Eastern conflict events. Sourced via historical financial data repositories (2018–2026).</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Military Incidents and Political Violence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ACLED (Armed Conflict Location &amp; Event Data Project):</w:t>
      </w:r>
      <w:r w:rsidDel="00000000" w:rsidR="00000000" w:rsidRPr="00000000">
        <w:rPr>
          <w:rFonts w:ascii="Google Sans" w:cs="Google Sans" w:eastAsia="Google Sans" w:hAnsi="Google Sans"/>
          <w:rtl w:val="0"/>
        </w:rPr>
        <w:t xml:space="preserve"> A robust spatial and temporal database tracking political violence. The data merges separate regional extractions for the Asia-Pacific (covering Pakistan and India) and the Middle East (covering Iran, Iraq, Yemen). Data relies on strict ACLED methodological and ethical sourcing guidelines (Last updated: April 4, 2026).</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Diplomacy, Media, and Rhetoric</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GDELT 2.0 Event Database:</w:t>
      </w:r>
      <w:r w:rsidDel="00000000" w:rsidR="00000000" w:rsidRPr="00000000">
        <w:rPr>
          <w:rFonts w:ascii="Google Sans" w:cs="Google Sans" w:eastAsia="Google Sans" w:hAnsi="Google Sans"/>
          <w:rtl w:val="0"/>
        </w:rPr>
        <w:t xml:space="preserve"> Accessed via a secure Google BigQuery interface, this dataset comprises news-coded diplomatic events, tracking tone (Goldstein Scale) and media volume. Filtered to capture over 1.1 million specific dyadic interactions involving Pakistan.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8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Data Processing &amp; Integrity Audits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The authenticity of the BI model is enforced through a strict Power Query data transformation pipeline, ensuring all dimensions and facts resolve to a unified Star Schema.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Domain / Dataset</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Transformation Methodology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Authenticity Measure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ACLED Combined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Appended Asia-Pacific and Middle East arrays (~354,000 rows). Stripped internal ACLED identifiers (ID) and redundant centroid coordinates to streamline regional analysis.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Exact schema matching across regions ensures temporal consistency; preserves critical baseline event counts and fatality metrics without distortion.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GDELT BigQuery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Connected via service account JSON key. Executed source-level SQL filtering for Actor1/Actor2 = 'PAK'. Derived explicit categories (e.g., 'Cooperative' vs 'Conflictual') from QuadClass fields.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Live querying prevents static data decay. Employs the peer-reviewed Goldstein Scale to map qualitative media tones to verifiable numerical sentiments.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Economic Futures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Normalized heterogeneous date formats to standard 'Date' types. Filtered bounds strictly to Jan 2018 – April 2026. Removed intraday volatility fields (Open, High, Low) to isolate end-of-day closure prices.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Eliminates intra-day noise, providing a stable baseline proxy that correlates accurately with macro-level diplomatic interventions.</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