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数字经济发展与企业创新质量</w:t>
      </w:r>
    </w:p>
    <w:p>
      <w:pPr>
        <w:jc w:val="center"/>
      </w:pPr>
      <w:r>
        <w:rPr>
          <w:rFonts w:ascii="黑体" w:hAnsi="黑体" w:eastAsia="黑体"/>
          <w:b/>
          <w:sz w:val="30"/>
        </w:rPr>
        <w:t>——基于实质性创新与策略性创新的视角</w:t>
      </w:r>
    </w:p>
    <w:p/>
    <w:p>
      <w:pPr>
        <w:spacing w:before="480" w:after="240"/>
        <w:jc w:val="center"/>
      </w:pPr>
      <w:r>
        <w:rPr>
          <w:rFonts w:ascii="黑体" w:hAnsi="黑体" w:eastAsia="黑体"/>
          <w:b/>
          <w:sz w:val="30"/>
        </w:rPr>
        <w:t>摘要</w:t>
      </w:r>
    </w:p>
    <w:p>
      <w:pPr>
        <w:ind w:firstLine="420"/>
      </w:pPr>
      <w:r>
        <w:t>数字经济快速发展，但其对企业创新"质量"的影响及传导机制尚缺乏系统检验。本文基于2011—2022年中国A股上市公司面板数据，以北京大学数字普惠金融指数衡量城市数字经济发展水平，区分实质性创新（发明专利）与策略性创新（实用新型专利），综合运用工具变量法和"宽带中国"试点政策的准自然实验进行因果识别。研究发现：（1）数字经济显著促进了企业实质性创新，但对策略性创新的影响不显著，表明数字经济的创新驱动作用体现在"提质"而非仅仅"增量"；（2）知识溢出效应和资源配置效率提升是两条重要传导渠道——前者扩大了企业可及的知识边界，后者引导资源流向高质量创新活动；（3）上述效应在民营企业、中小企业、高科技行业和中西部地区更为显著，揭示了数字经济"普惠创新"的特征。本文为理解数字经济对创新质量的选择性影响提供了因果证据，对完善创新评价机制和数字经济政策设计具有参考价值。</w:t>
      </w:r>
    </w:p>
    <w:p>
      <w:pPr>
        <w:ind w:firstLine="420"/>
      </w:pPr>
      <w:r>
        <w:rPr>
          <w:b/>
        </w:rPr>
        <w:t>关键词</w:t>
      </w:r>
      <w:r>
        <w:t>：数字经济；实质性创新；策略性创新；知识溢出；资源配置效率</w:t>
      </w:r>
    </w:p>
    <w:p>
      <w:pPr>
        <w:ind w:firstLine="420"/>
      </w:pPr>
      <w:r>
        <w:rPr>
          <w:b/>
        </w:rPr>
        <w:t>JEL分类号</w:t>
      </w:r>
      <w:r>
        <w:t>：O33；O36；L25</w:t>
      </w:r>
    </w:p>
    <w:p/>
    <w:p>
      <w:pPr>
        <w:spacing w:before="480" w:after="240"/>
        <w:jc w:val="center"/>
      </w:pPr>
      <w:r>
        <w:rPr>
          <w:rFonts w:ascii="黑体" w:hAnsi="黑体" w:eastAsia="黑体"/>
          <w:b/>
          <w:sz w:val="30"/>
        </w:rPr>
        <w:t>一、引言</w:t>
      </w:r>
    </w:p>
    <w:p>
      <w:pPr>
        <w:ind w:firstLine="420"/>
      </w:pPr>
      <w:r>
        <w:t>数字经济已成为重塑全球经济格局的核心力量。根据中国信息通信研究院发布的数据，2023年中国数字经济规模超过53万亿元，占GDP比重超过42%，数字经济增速显著高于同期GDP增速。从国家战略层面来看，"十四五"规划明确提出要加快数字化发展、建设数字中国，党的二十大报告进一步强调要加快发展数字经济，促进数字经济和实体经济深度融合。在此背景下，一个关键的学术问题是：数字经济的快速发展究竟在多大程度上推动了企业创新，尤其是推动了高质量的创新？</w:t>
      </w:r>
    </w:p>
    <w:p>
      <w:pPr>
        <w:ind w:firstLine="420"/>
      </w:pPr>
      <w:r>
        <w:t>近年来，学术界围绕数字经济与企业创新的关系展开了广泛研究。已有文献从融资约束缓解、信息不对称降低、资源配置效率提升等多个角度，揭示了数字经济对企业创新活动的积极影响（赵涛等，2020；谢绚丽等，2018；唐松等，2020；吴非等，2021），为理解数字经济的创新驱动效应奠定了重要基础。</w:t>
      </w:r>
    </w:p>
    <w:p>
      <w:pPr>
        <w:ind w:firstLine="420"/>
      </w:pPr>
      <w:r>
        <w:t>然而，现有文献在以下方面仍有拓展空间，这也构成了本文的研究切入点。</w:t>
      </w:r>
      <w:r>
        <w:rPr>
          <w:b/>
        </w:rPr>
        <w:t>第一</w:t>
      </w:r>
      <w:r>
        <w:t>，在创新测度方面，绝大多数研究以专利申请总量或研发投入作为企业创新的衡量指标，较少关注创新的"质量"维度。事实上，企业的创新活动在质量上存在显著差异：发明专利需经过严格的实质性审查，代表着真正的技术突破，属于"实质性创新"；而实用新型专利仅需形式审查，技术门槛较低，部分企业可能出于获取政府补贴、税收优惠或提升市场形象等策略性动机大量申请此类专利，形成所谓的"策略性创新"（黎文靖和郑曼妮，2016）。仅以专利总量评价创新水平，无法区分数字经济究竟是促进了实质性的技术进步，还是仅仅刺激了低质量的专利堆积。尽管已有少数研究关注了数字经济与专利结构的关系，但尚缺乏在严格因果推断框架下对数字经济如何差异化影响不同质量层次创新的系统检验。</w:t>
      </w:r>
      <w:r>
        <w:rPr>
          <w:b/>
        </w:rPr>
        <w:t>第二</w:t>
      </w:r>
      <w:r>
        <w:t>，在因果识别方面，部分研究在处理内生性问题上仍不够充分。数字经济发展水平较高的城市往往本身就具有更好的创新基础和制度环境，导致反向因果和遗漏变量偏误。本文针对这一问题，同时采用工具变量法（以1984年历史邮电局数量构建）和"宽带中国"试点政策的准自然实验，辅以PSM-DID、安慰剂检验等多重稳健性策略。</w:t>
      </w:r>
      <w:r>
        <w:rPr>
          <w:b/>
        </w:rPr>
        <w:t>第三</w:t>
      </w:r>
      <w:r>
        <w:t>，在作用机制方面，现有研究多停留在简单的中介效应检验层面。本文遵循江艇（2022）的方法论建议，从知识溢出和资源配置效率两条渠道分析数字经济影响创新"质量"的内在机制，并进一步从产权性质、企业规模、行业属性和区域发展水平四个维度考察异质性表现。</w:t>
      </w:r>
    </w:p>
    <w:p>
      <w:pPr>
        <w:ind w:firstLine="420"/>
      </w:pPr>
      <w:r>
        <w:t>具体而言，本文利用2011—2022年中国A股上市公司面板数据，以北京大学数字普惠金融指数衡量城市数字经济发展水平，将企业创新产出区分为实质性创新（发明专利）和策略性创新（实用新型专利），系统考察数字经济对不同质量层次创新的差异化影响及其传导机制。</w:t>
      </w:r>
    </w:p>
    <w:p>
      <w:pPr>
        <w:ind w:firstLine="420"/>
      </w:pPr>
      <w:r>
        <w:t>本文的边际贡献主要体现在以下三个方面。</w:t>
      </w:r>
      <w:r>
        <w:rPr>
          <w:b/>
        </w:rPr>
        <w:t>第一</w:t>
      </w:r>
      <w:r>
        <w:t>，本文拓展了数字经济与企业创新关系的研究视角。虽然已有学者从不同角度区分了创新质量（黎文靖和郑曼妮，2016；张杰等，2016），但鲜有研究在数字经济的情境下，结合严格的因果推断框架，系统考察数字经济对实质性创新与策略性创新的差异化影响。本文的研究发现——数字经济选择性地促进实质性创新——为这一领域提供了新的经验证据和分析视角。</w:t>
      </w:r>
      <w:r>
        <w:rPr>
          <w:b/>
        </w:rPr>
        <w:t>第二</w:t>
      </w:r>
      <w:r>
        <w:t>，本文提供了更加可靠的因果推断证据。通过同时采用工具变量法和准自然实验设计两种互补的识别策略，并辅以多项稳健性检验，本文有效缓解了内生性问题对估计结果的干扰。</w:t>
      </w:r>
      <w:r>
        <w:rPr>
          <w:b/>
        </w:rPr>
        <w:t>第三</w:t>
      </w:r>
      <w:r>
        <w:t>，本文揭示了数字经济影响企业创新质量的传导机制和异质性特征。知识溢出与资源配置效率两条渠道的识别不仅回答了"是否促进"的问题，还阐明了"如何促进"的逻辑；异质性分析揭示的结构性差异则为差异化的政策设计提供了经验依据。</w:t>
      </w:r>
    </w:p>
    <w:p>
      <w:pPr>
        <w:ind w:firstLine="420"/>
      </w:pPr>
      <w:r>
        <w:t>本文后续安排如下：第二部分梳理相关文献；第三部分进行理论分析与研究假设推导；第四部分介绍研究设计；第五部分报告实证结果；第六部分进行机制检验；第七部分开展异质性分析；第八部分为结论与政策启示。</w:t>
      </w:r>
    </w:p>
    <w:p/>
    <w:p>
      <w:pPr>
        <w:spacing w:before="480" w:after="240"/>
        <w:jc w:val="center"/>
      </w:pPr>
      <w:r>
        <w:rPr>
          <w:rFonts w:ascii="黑体" w:hAnsi="黑体" w:eastAsia="黑体"/>
          <w:b/>
          <w:sz w:val="30"/>
        </w:rPr>
        <w:t>二、文献综述</w:t>
      </w:r>
    </w:p>
    <w:p>
      <w:pPr>
        <w:ind w:firstLine="420"/>
      </w:pPr>
      <w:r>
        <w:t>本部分从三个方面梳理与本文密切相关的文献：数字经济的创新效应、企业创新质量的测度与影响因素，以及数字经济影响企业行为的传导机制。</w:t>
      </w:r>
    </w:p>
    <w:p>
      <w:pPr>
        <w:spacing w:before="360" w:after="160"/>
      </w:pPr>
      <w:r>
        <w:rPr>
          <w:rFonts w:ascii="黑体" w:hAnsi="黑体" w:eastAsia="黑体"/>
          <w:b/>
          <w:sz w:val="28"/>
        </w:rPr>
        <w:t>（一）数字经济与企业创新</w:t>
      </w:r>
    </w:p>
    <w:p>
      <w:pPr>
        <w:ind w:firstLine="420"/>
      </w:pPr>
      <w:r>
        <w:t>数字经济对企业创新活动的影响是近年来经济学和管理学领域的研究热点。在宏观层面，赵涛等（2020）基于城市面板数据，构建了数字经济综合发展指数，发现数字经济显著促进了城市创新产出和经济高质量发展。在微观层面，研究者从多个角度考察了数字经济对企业创新的影响：谢绚丽等（2018）发现数字金融发展能够通过缓解融资约束促进创业活动；唐松等（2020）指出数字金融有助于降低企业面临的信息不对称，提升技术创新水平；吴非等（2021）从企业数字化转型的视角发现数字技术应用能够增强企业的知识吸收能力。上述研究普遍以专利申请总量或研发投入衡量创新活动，为理解数字经济的创新驱动效应提供了丰富的证据。然而，正如Boeing和Mueller（2019）所指出的，中国专利制度的特殊性使得专利总量并不能准确反映创新的真实水平，以总量指标评估数字经济的创新效应可能得出片面的结论。本文在已有研究的基础上，将创新测度从"数量"拓展至"质量"维度，以期提供更加细致的分析。</w:t>
      </w:r>
    </w:p>
    <w:p>
      <w:pPr>
        <w:spacing w:before="360" w:after="160"/>
      </w:pPr>
      <w:r>
        <w:rPr>
          <w:rFonts w:ascii="黑体" w:hAnsi="黑体" w:eastAsia="黑体"/>
          <w:b/>
          <w:sz w:val="28"/>
        </w:rPr>
        <w:t>（二）企业创新质量：实质性创新与策略性创新</w:t>
      </w:r>
    </w:p>
    <w:p>
      <w:pPr>
        <w:ind w:firstLine="420"/>
      </w:pPr>
      <w:r>
        <w:t>关于企业创新质量的研究，学术界已形成了较为成熟的分析框架。黎文靖和郑曼妮（2016）率先在中国情境下区分了实质性创新（发明专利）与策略性创新（非发明专利），发现政府补贴在一定程度上激励了企业的策略性创新行为。此后，张杰等（2016）进一步发现专利补贴政策可能诱发企业的低质量专利申请。在国际文献中，Dang和Motohashi（2015）研究了中国专利质量的演变趋势，指出实用新型专利在技术复杂度和经济价值方面显著低于发明专利。需要指出的是，将实用新型专利简单等同于"策略性创新"是一种近似处理——部分中小企业确实依赖实用新型专利保护其渐进式创新成果（何郁冰和丁佳，2019）。然而，从总体统计特征来看，发明专利与实用新型专利在审查标准、技术门槛和经济价值方面的系统性差异，使得以二者的相对比重或差异化表现来度量创新质量仍是一种有效且被广泛接受的策略。本文在使用这一区分框架的同时，还以"发明专利占比"作为替代指标进行稳健性检验，以增强结论的可靠性。</w:t>
      </w:r>
    </w:p>
    <w:p>
      <w:pPr>
        <w:spacing w:before="360" w:after="160"/>
      </w:pPr>
      <w:r>
        <w:rPr>
          <w:rFonts w:ascii="黑体" w:hAnsi="黑体" w:eastAsia="黑体"/>
          <w:b/>
          <w:sz w:val="28"/>
        </w:rPr>
        <w:t>（三）数字经济影响企业行为的传导机制</w:t>
      </w:r>
    </w:p>
    <w:p>
      <w:pPr>
        <w:ind w:firstLine="420"/>
      </w:pPr>
      <w:r>
        <w:t>现有文献从多个角度探讨了数字经济影响企业行为的传导机制。在知识溢出方面，Jaffe等（1993）和Audretsch和Feldman（1996）奠定了知识溢出理论的经典基础，指出知识溢出受到地理距离的显著制约。而Forman和van Zeebroeck（2012）的研究表明，互联网的普及正在显著改变知识溢出的空间格局，使远距离的知识传播成为可能。在资源配置方面，Hsieh和Klenow（2009）的经典研究揭示了资源错配对生产率的重要影响。在中国情境下，鞠晓生等（2013）发现融资约束是制约企业创新的关键因素。数字金融的发展为缓解这一约束提供了新的途径（郭峰等，2020）。然而，上述机制研究大多聚焦于数字经济对创新"数量"的传导路径，对数字经济如何通过上述渠道差异化地影响不同质量层次的创新——特别是为何更有利于实质性创新而非策略性创新——的分析仍然不足。此外，数字经济可能通过提升市场信息透明度增强投资者对专利质量的甄别能力，从而压缩企业进行低质量"创新伪装"的空间（Tong等，2014），这一"市场甄别"渠道在已有文献中较少涉及。</w:t>
      </w:r>
    </w:p>
    <w:p>
      <w:pPr>
        <w:ind w:firstLine="420"/>
      </w:pPr>
      <w:r>
        <w:t>综合以上文献梳理可以发现，尽管数字经济与企业创新的研究已较为丰富，但将创新质量维度纳入因果分析框架、系统识别其差异化效应和传导机制的工作仍有待深入。接下来，本文将在上述文献基础上，构建数字经济影响企业创新质量的理论分析框架，并推导可检验的研究假设。</w:t>
      </w:r>
    </w:p>
    <w:p/>
    <w:p>
      <w:pPr>
        <w:spacing w:before="480" w:after="240"/>
        <w:jc w:val="center"/>
      </w:pPr>
      <w:r>
        <w:rPr>
          <w:rFonts w:ascii="黑体" w:hAnsi="黑体" w:eastAsia="黑体"/>
          <w:b/>
          <w:sz w:val="30"/>
        </w:rPr>
        <w:t>三、理论分析与研究假设</w:t>
      </w:r>
    </w:p>
    <w:p>
      <w:pPr>
        <w:spacing w:before="360" w:after="160"/>
      </w:pPr>
      <w:r>
        <w:rPr>
          <w:rFonts w:ascii="黑体" w:hAnsi="黑体" w:eastAsia="黑体"/>
          <w:b/>
          <w:sz w:val="28"/>
        </w:rPr>
        <w:t>（一）数字经济与企业创新质量</w:t>
      </w:r>
    </w:p>
    <w:p>
      <w:pPr>
        <w:ind w:firstLine="420"/>
      </w:pPr>
      <w:r>
        <w:t>创新是经济增长的核心动力，而创新质量则决定了经济增长的可持续性（Romer，1990；Aghion和Howitt，1992）。在企业创新活动中，不同类型的创新具有截然不同的经济价值。发明专利代表着实质性的技术突破，其申请需要经过严格的实质性审查，体现了企业在技术前沿的探索能力；而实用新型专利仅需通过形式审查，技术门槛较低，部分企业可能出于政策套利、税收优惠或声誉建设等动机大量申请此类专利，形成所谓的"策略性创新"（黎文靖和郑曼妮，2016）。因此，仅以专利总量衡量企业创新水平，可能高估企业的真实创新能力，模糊实质性创新与策略性创新之间的本质差异。</w:t>
      </w:r>
    </w:p>
    <w:p>
      <w:pPr>
        <w:ind w:firstLine="420"/>
      </w:pPr>
      <w:r>
        <w:t>数字经济的发展为企业创新活动提供了全新的技术基础和制度环境。从Schumpeter（1942）"创造性破坏"的视角来看，数字技术本身就是一种重大的技术范式变革，它通过重塑信息获取方式、知识传播路径和资源配置机制，深刻改变了企业创新的条件和模式。具体而言，数字经济可能通过以下途径影响企业创新质量：</w:t>
      </w:r>
    </w:p>
    <w:p>
      <w:pPr>
        <w:ind w:firstLine="420"/>
      </w:pPr>
      <w:r>
        <w:t>第一，数字经济降低了前沿技术信息的搜寻和获取成本。互联网平台、学术数据库和开放科学社区的普及，使得企业研发人员能够以极低的成本追踪全球技术前沿，获取跨领域的技术知识。这种信息获取能力的提升，有助于企业在更广泛的知识基础上进行技术组合与突破，从而促进实质性创新（Henderson和Clark，1990）。</w:t>
      </w:r>
    </w:p>
    <w:p>
      <w:pPr>
        <w:ind w:firstLine="420"/>
      </w:pPr>
      <w:r>
        <w:t>第二，数字平台重塑了协作创新的空间格局。线上沟通工具和协作平台打破了地理边界的限制，使企业能够与更广泛的外部创新主体建立联系，参与更高层次的知识分工和协同研发。这种协作网络的拓展为突破性创新提供了必要的知识多样性条件（Fleming，2001）。</w:t>
      </w:r>
    </w:p>
    <w:p>
      <w:pPr>
        <w:ind w:firstLine="420"/>
      </w:pPr>
      <w:r>
        <w:t>第三，数字化技术提升了企业创新管理的精准度。大数据分析、人工智能等数字工具帮助企业更准确地识别市场需求、评估技术路线、优化研发资源配置，从而提高创新项目的成功率，将有限的研发资源更多地投向高价值的实质性创新活动。</w:t>
      </w:r>
    </w:p>
    <w:p>
      <w:pPr>
        <w:ind w:firstLine="420"/>
      </w:pPr>
      <w:r>
        <w:t>值得注意的是，上述机制对实质性创新的促进作用显著强于策略性创新。原因在于：实用新型专利的技术门槛较低，企业即使不借助数字化手段也能较容易地完成此类创新，数字经济对其边际贡献有限；相反，发明专利所需的深度技术突破高度依赖于外部知识获取和资源的精准配置，恰恰是数字经济赋能的核心领域。此外，随着数字化环境下信息透明度的提升，资本市场和政策制定者对专利质量的甄别能力增强，企业通过低质量专利进行"创新伪装"的空间被压缩，进一步抑制了策略性创新的动机（Tong等，2014）。当然，需要指出的是，并非所有实用新型专利都属于策略性创新——部分中小企业确实依赖实用新型专利保护其渐进式技术改进成果（何郁冰和丁佳，2019）。本文以发明专利与实用新型专利的差异化表现来近似度量创新质量，是一种在数据可得性约束下被学术界广泛接受的处理方式（黎文靖和郑曼妮，2016；张杰等，2016），后文还将以"发明专利占总专利比重"作为替代指标进行稳健性检验。</w:t>
      </w:r>
    </w:p>
    <w:p>
      <w:pPr>
        <w:ind w:firstLine="420"/>
      </w:pPr>
      <w:r>
        <w:t>基于上述分析，本文提出以下假设：</w:t>
      </w:r>
    </w:p>
    <w:p>
      <w:pPr>
        <w:spacing w:before="120" w:after="120"/>
        <w:ind w:left="567"/>
      </w:pPr>
      <w:r>
        <w:rPr>
          <w:b/>
          <w:i/>
        </w:rPr>
        <w:t>假设H1</w:t>
      </w:r>
      <w:r>
        <w:t>：数字经济发展显著促进企业实质性创新（发明专利）。</w:t>
      </w:r>
    </w:p>
    <w:p>
      <w:pPr>
        <w:spacing w:before="120" w:after="120"/>
        <w:ind w:left="567"/>
      </w:pPr>
      <w:r>
        <w:rPr>
          <w:b/>
          <w:i/>
        </w:rPr>
        <w:t>假设H1a</w:t>
      </w:r>
      <w:r>
        <w:t>：数字经济发展对企业策略性创新（实用新型专利）的促进效应不显著或显著弱于对实质性创新的促进效应。</w:t>
      </w:r>
    </w:p>
    <w:p>
      <w:pPr>
        <w:spacing w:before="360" w:after="160"/>
      </w:pPr>
      <w:r>
        <w:rPr>
          <w:rFonts w:ascii="黑体" w:hAnsi="黑体" w:eastAsia="黑体"/>
          <w:b/>
          <w:sz w:val="28"/>
        </w:rPr>
        <w:t>（二）机制分析：知识溢出渠道</w:t>
      </w:r>
    </w:p>
    <w:p>
      <w:pPr>
        <w:ind w:firstLine="420"/>
      </w:pPr>
      <w:r>
        <w:t>知识溢出是指知识在经济主体之间的非市场化传播和扩散（Jaffe等，1993）。知识溢出理论指出，知识作为一种准公共品，其传播和扩散能够显著提升接收方的创新能力（Audretsch和Feldman，1996）。传统上，知识溢出受到地理距离的显著制约，呈现出明显的地理集聚特征（Jaffe等，1993）。然而，数字经济的发展正在从根本上改变知识溢出的空间格局。</w:t>
      </w:r>
    </w:p>
    <w:p>
      <w:pPr>
        <w:ind w:firstLine="420"/>
      </w:pPr>
      <w:r>
        <w:t>数字经济通过以下途径促进知识溢出：首先，互联网基础设施的完善和数字平台的普及大幅降低了知识传播的边际成本。学术搜索引擎、专利数据库、在线技术论坛等数字化知识载体，使得远距离知识溢出成为可能。企业不再局限于本地知识源，而能够从全国乃至全球范围获取技术知识。其次，数字化社交网络和协作平台加速了隐性知识的显性化进程。视频会议、在线研讨、远程协作等工具使得以往难以编码化传播的经验知识和技术诀窍能够更便捷地跨组织传播。最后，大数据和人工智能技术提升了知识匹配的精准度。智能推荐系统能够帮助企业研发人员快速定位与其技术需求最相关的外部知识资源，降低知识搜索中的信息过载问题。</w:t>
      </w:r>
    </w:p>
    <w:p>
      <w:pPr>
        <w:ind w:firstLine="420"/>
      </w:pPr>
      <w:r>
        <w:t>知识溢出对企业实质性创新的促进作用已得到广泛的理论和实证支持。当企业获取的外部知识的广度和深度增加时，其进行知识重组和技术融合的可能性显著提升，而知识重组恰恰是突破性创新和发明专利产生的重要来源（Fleming，2001；Arts和Veugelers，2015）。因此，数字经济通过扩大知识溢出的范围和强度，为企业实质性创新提供了更丰富的知识原料。</w:t>
      </w:r>
    </w:p>
    <w:p>
      <w:pPr>
        <w:ind w:firstLine="420"/>
      </w:pPr>
      <w:r>
        <w:t>基于上述分析，本文提出以下假设：</w:t>
      </w:r>
    </w:p>
    <w:p>
      <w:pPr>
        <w:spacing w:before="120" w:after="120"/>
        <w:ind w:left="567"/>
      </w:pPr>
      <w:r>
        <w:rPr>
          <w:b/>
          <w:i/>
        </w:rPr>
        <w:t>假设H2</w:t>
      </w:r>
      <w:r>
        <w:t>：数字经济通过促进知识溢出效应来提升企业实质性创新水平。</w:t>
      </w:r>
    </w:p>
    <w:p>
      <w:pPr>
        <w:spacing w:before="360" w:after="160"/>
      </w:pPr>
      <w:r>
        <w:rPr>
          <w:rFonts w:ascii="黑体" w:hAnsi="黑体" w:eastAsia="黑体"/>
          <w:b/>
          <w:sz w:val="28"/>
        </w:rPr>
        <w:t>（三）机制分析：资源配置效率渠道</w:t>
      </w:r>
    </w:p>
    <w:p>
      <w:pPr>
        <w:ind w:firstLine="420"/>
      </w:pPr>
      <w:r>
        <w:t>资源的有效配置是创新活动的物质基础。Hsieh和Klenow（2009）的经典研究表明，资源错配是制约发展中国家全要素生产率提升的重要原因，而资源配置效率的改善能够显著促进经济增长和创新产出。在中国情境下，融资约束是制约企业创新的关键瓶颈（鞠晓生等，2013），信息不对称导致的金融资源错配使得大量有潜力的创新项目因融资困难而无法实施。</w:t>
      </w:r>
    </w:p>
    <w:p>
      <w:pPr>
        <w:ind w:firstLine="420"/>
      </w:pPr>
      <w:r>
        <w:t>数字经济从多个层面提升资源配置效率：第一，数字金融（如移动支付、网络借贷、供应链金融）通过大数据征信和智能风控技术，缓解了银企之间的信息不对称，降低了企业特别是中小企业的融资门槛（谢绚丽等，2018）。这使得更多企业能够获得实施实质性创新所需的资金支持。第二，数字技术提升了要素市场的运行效率。劳动力招聘平台、技术交易市场、数据要素市场等数字化基础设施，促进了人才、技术、数据等创新要素的自由流动和精准匹配，降低了要素交易成本（赵涛等，2020）。第三，在企业内部，数字化管理工具帮助企业实现了研发项目的精细化管理。通过数据驱动的项目评估和资源配置决策，企业能够将有限的研发投入更多地配置到预期回报更高的实质性创新项目上，减少低效率的策略性创新行为。</w:t>
      </w:r>
    </w:p>
    <w:p>
      <w:pPr>
        <w:ind w:firstLine="420"/>
      </w:pPr>
      <w:r>
        <w:t>从宏观层面看，资源配置效率的提升意味着创新资源从低效率企业和低价值项目流向高效率企业和高价值项目。这一过程有利于实质性创新而非策略性创新，原因在于：实质性创新虽然风险更高、周期更长，但预期回报也更大。当信息不对称降低、资源流动摩擦减少时，市场机制能够更好地发挥甄别功能，将资源导向真正具有技术突破潜力的创新活动。</w:t>
      </w:r>
    </w:p>
    <w:p>
      <w:pPr>
        <w:ind w:firstLine="420"/>
      </w:pPr>
      <w:r>
        <w:t>基于上述分析，本文提出以下假设：</w:t>
      </w:r>
    </w:p>
    <w:p>
      <w:pPr>
        <w:spacing w:before="120" w:after="120"/>
        <w:ind w:left="567"/>
      </w:pPr>
      <w:r>
        <w:rPr>
          <w:b/>
          <w:i/>
        </w:rPr>
        <w:t>假设H3</w:t>
      </w:r>
      <w:r>
        <w:t>：数字经济通过提升资源配置效率来促进企业实质性创新水平。</w:t>
      </w:r>
    </w:p>
    <w:p>
      <w:pPr>
        <w:spacing w:before="360" w:after="160"/>
      </w:pPr>
      <w:r>
        <w:rPr>
          <w:rFonts w:ascii="黑体" w:hAnsi="黑体" w:eastAsia="黑体"/>
          <w:b/>
          <w:sz w:val="28"/>
        </w:rPr>
        <w:t>（四）补充机制：市场甄别效应</w:t>
      </w:r>
    </w:p>
    <w:p>
      <w:pPr>
        <w:ind w:firstLine="420"/>
      </w:pPr>
      <w:r>
        <w:t>除知识溢出和资源配置两条正向促进实质性创新的渠道外，数字经济还可能通过提升市场信息透明度，从"需求侧"抑制策略性创新的动机。具体而言，数字化环境下，上市公司的专利信息更加公开透明，分析师、投资者和监管部门能够更便捷地甄别专利的真实质量。当市场对专利质量的识别能力增强时，企业通过大量申请低质量专利来"伪装"创新能力的激励被削弱，从而进一步压缩了策略性创新的空间（Tong等，2014）。这一"市场甄别"效应与前述两条渠道形成互补——知识溢出和资源配置从"供给侧"促进实质性创新，市场甄别效应从"需求侧"抑制策略性创新，共同塑造了数字经济对创新质量的选择性影响。</w:t>
      </w:r>
    </w:p>
    <w:p>
      <w:pPr>
        <w:spacing w:before="360" w:after="160"/>
      </w:pPr>
      <w:r>
        <w:rPr>
          <w:rFonts w:ascii="黑体" w:hAnsi="黑体" w:eastAsia="黑体"/>
          <w:b/>
          <w:sz w:val="28"/>
        </w:rPr>
        <w:t>（五）理论分析框架</w:t>
      </w:r>
    </w:p>
    <w:p>
      <w:pPr>
        <w:ind w:firstLine="420"/>
      </w:pPr>
      <w:r>
        <w:t>综合以上分析，本文构建如图1所示的理论分析框架。数字经济发展通过三条渠道影响企业创新质量：知识溢出效应和资源配置效率提升从供给侧促进实质性创新（H2、H3），市场甄别效应从需求侧抑制策略性创新。在创新产出端，数字经济选择性地促进企业实质性创新，而对策略性创新的影响有限（H1、H1a）。同时，考虑到不同企业和地区特征的差异，本文进一步从产权性质、企业规模、行业属性和区域发展水平四个维度考察上述效应的异质性表现。</w:t>
      </w:r>
    </w:p>
    <w:p>
      <w:pPr>
        <w:jc w:val="center"/>
      </w:pPr>
      <w:r>
        <w:rPr>
          <w:i/>
          <w:color w:val="808080"/>
        </w:rPr>
        <w:t>[图1 理论分析框架]</w:t>
      </w:r>
    </w:p>
    <w:p>
      <w:pPr>
        <w:ind w:firstLine="420"/>
      </w:pPr>
      <w:r>
        <w:t>上述理论框架为本文的实证检验提供了明确的方向。下一部分将介绍样本选取、变量定义和计量模型设定，以对上述假设进行严格的因果检验。</w:t>
      </w:r>
    </w:p>
    <w:p/>
    <w:p>
      <w:pPr>
        <w:spacing w:before="480" w:after="240"/>
        <w:jc w:val="center"/>
      </w:pPr>
      <w:r>
        <w:rPr>
          <w:rFonts w:ascii="黑体" w:hAnsi="黑体" w:eastAsia="黑体"/>
          <w:b/>
          <w:sz w:val="30"/>
        </w:rPr>
        <w:t>四、研究设计</w:t>
      </w:r>
    </w:p>
    <w:p>
      <w:pPr>
        <w:spacing w:before="360" w:after="160"/>
      </w:pPr>
      <w:r>
        <w:rPr>
          <w:rFonts w:ascii="黑体" w:hAnsi="黑体" w:eastAsia="黑体"/>
          <w:b/>
          <w:sz w:val="28"/>
        </w:rPr>
        <w:t>（一）样本选取与数据来源</w:t>
      </w:r>
    </w:p>
    <w:p>
      <w:pPr>
        <w:ind w:firstLine="420"/>
      </w:pPr>
      <w:r>
        <w:t>本文以2011—2022年中国A股上市公司为研究样本。选择2011年作为起始年份，主要基于北京大学数字普惠金融指数的数据起点。在样本筛选过程中，本文按照以下标准进行处理：（1）剔除金融行业上市公司，因其资产负债结构和经营模式与一般企业差异较大；（2）剔除ST、*ST类上市公司，以排除财务异常对结果的干扰；（3）剔除关键变量存在严重缺失的样本。经过上述处理，最终获得约26000—30000个企业—年度观测值的非平衡面板数据。</w:t>
      </w:r>
    </w:p>
    <w:p>
      <w:pPr>
        <w:ind w:firstLine="420"/>
      </w:pPr>
      <w:r>
        <w:t>本文的数据来源如下：企业专利数据来自中国研究数据服务平台（CNRDS），该数据库提供了上市公司按专利类型（发明专利、实用新型专利和外观设计专利）分类的详细申请和授权信息（黎文靖和郑曼妮，2016）；城市层面的数字经济发展水平以北京大学数字金融研究中心编制的数字普惠金融指数衡量（谢绚丽等，2018）；上市公司财务数据和公司治理数据来自国泰安（CSMAR）数据库；城市层面的经济社会数据来自《中国城市统计年鉴》；工具变量所需的历史邮电数据来自《中国统计年鉴》历史卷。为消除极端值的影响，本文对所有连续变量在1%和99%分位数处进行了缩尾处理（Winsorize）。</w:t>
      </w:r>
    </w:p>
    <w:p>
      <w:pPr>
        <w:spacing w:before="360" w:after="160"/>
      </w:pPr>
      <w:r>
        <w:rPr>
          <w:rFonts w:ascii="黑体" w:hAnsi="黑体" w:eastAsia="黑体"/>
          <w:b/>
          <w:sz w:val="28"/>
        </w:rPr>
        <w:t>（二）变量定义</w:t>
      </w:r>
    </w:p>
    <w:p>
      <w:pPr>
        <w:spacing w:before="240" w:after="120"/>
      </w:pPr>
      <w:r>
        <w:rPr>
          <w:rFonts w:ascii="黑体" w:hAnsi="黑体" w:eastAsia="黑体"/>
          <w:b/>
          <w:sz w:val="24"/>
        </w:rPr>
        <w:t>1. 被解释变量</w:t>
      </w:r>
    </w:p>
    <w:p>
      <w:pPr>
        <w:ind w:firstLine="420"/>
      </w:pPr>
      <w:r>
        <w:t>本文的被解释变量为企业创新质量，通过区分实质性创新与策略性创新两个维度进行衡量。</w:t>
      </w:r>
    </w:p>
    <w:p>
      <w:pPr>
        <w:ind w:firstLine="420"/>
      </w:pPr>
      <w:r>
        <w:rPr>
          <w:b/>
        </w:rPr>
        <w:t>实质性创新（SubInnov）</w:t>
      </w:r>
      <w:r>
        <w:t>：以企业当年发明专利申请数量加1后取自然对数衡量，即SubInnov_it = ln(发明专利申请量_it + 1)。发明专利需要经过严格的实质性审查，具有较高的技术含量和创新水平，能够较好地反映企业的实质性技术突破能力。</w:t>
      </w:r>
    </w:p>
    <w:p>
      <w:pPr>
        <w:ind w:firstLine="420"/>
      </w:pPr>
      <w:r>
        <w:rPr>
          <w:b/>
        </w:rPr>
        <w:t>策略性创新（StrInnov）</w:t>
      </w:r>
      <w:r>
        <w:t>：以企业当年实用新型专利申请数量加1后取自然对数衡量，即StrInnov_it = ln(实用新型专利申请量_it + 1)。实用新型专利仅需形式审查，技术门槛较低，部分企业可能出于迎合创新补贴政策等策略性动机申请此类专利。</w:t>
      </w:r>
    </w:p>
    <w:p>
      <w:pPr>
        <w:ind w:firstLine="420"/>
      </w:pPr>
      <w:r>
        <w:t>在稳健性检验中，本文还使用专利授权数量替换申请数量进行重新估计。</w:t>
      </w:r>
    </w:p>
    <w:p>
      <w:pPr>
        <w:spacing w:before="240" w:after="120"/>
      </w:pPr>
      <w:r>
        <w:rPr>
          <w:rFonts w:ascii="黑体" w:hAnsi="黑体" w:eastAsia="黑体"/>
          <w:b/>
          <w:sz w:val="24"/>
        </w:rPr>
        <w:t>2. 核心解释变量</w:t>
      </w:r>
    </w:p>
    <w:p>
      <w:pPr>
        <w:ind w:firstLine="420"/>
      </w:pPr>
      <w:r>
        <w:rPr>
          <w:b/>
        </w:rPr>
        <w:t>数字经济发展水平（DigEcon）</w:t>
      </w:r>
      <w:r>
        <w:t>：采用北京大学数字普惠金融指数的城市级总指数衡量。该指数基于蚂蚁集团的交易账户大数据编制，涵盖覆盖广度、使用深度和数字化程度三个维度，是目前学术界衡量中国城市数字经济发展水平最具权威性和认可度的指标之一（郭峰等，2020）。本文将企业按注册地所在城市与数字普惠金融指数进行匹配，并对指数取自然对数以降低量纲差异。在稳健性检验中，本文还采用赵涛等（2020）构建的城市数字经济综合发展指数作为替代指标。</w:t>
      </w:r>
    </w:p>
    <w:p>
      <w:pPr>
        <w:spacing w:before="240" w:after="120"/>
      </w:pPr>
      <w:r>
        <w:rPr>
          <w:rFonts w:ascii="黑体" w:hAnsi="黑体" w:eastAsia="黑体"/>
          <w:b/>
          <w:sz w:val="24"/>
        </w:rPr>
        <w:t>3. 控制变量</w:t>
      </w:r>
    </w:p>
    <w:p>
      <w:pPr>
        <w:ind w:firstLine="420"/>
      </w:pPr>
      <w:r>
        <w:t>为尽可能减少遗漏变量偏误，本文在企业层面和城市层面分别控制了以下变量：</w:t>
      </w:r>
    </w:p>
    <w:p>
      <w:pPr>
        <w:ind w:firstLine="420"/>
      </w:pPr>
      <w:r>
        <w:rPr>
          <w:b/>
        </w:rPr>
        <w:t>企业层面控制变量</w:t>
      </w:r>
      <w:r>
        <w:t>：（1）企业规模（Size），以总资产的自然对数衡量；（2）企业年龄（Age），以企业成立年限的自然对数衡量；（3）资产负债率（Lev），以总负债与总资产之比衡量；（4）资产收益率（ROA），以净利润与总资产之比衡量；（5）营业收入增长率（Growth），衡量企业成长性；（6）经营现金流（CF），以经营活动现金流净额与总资产之比衡量；（7）研发投入强度（RD），以研发支出与营业收入之比衡量；（8）股权集中度（Top1），以第一大股东持股比例衡量；（9）董事会规模（Board），以董事会人数的自然对数衡量。</w:t>
      </w:r>
    </w:p>
    <w:p>
      <w:pPr>
        <w:ind w:firstLine="420"/>
      </w:pPr>
      <w:r>
        <w:rPr>
          <w:b/>
        </w:rPr>
        <w:t>城市层面控制变量</w:t>
      </w:r>
      <w:r>
        <w:t>：（1）经济发展水平（GDP_pc），以城市人均GDP的自然对数衡量；（2）政府科技投入（GovTech），以地方财政科技支出占财政总支出的比例衡量；（3）金融发展水平（Finance），以年末金融机构贷款余额与GDP之比衡量；（4）人力资本水平（HC），以每万人在校大学生数衡量。</w:t>
      </w:r>
    </w:p>
    <w:p>
      <w:pPr>
        <w:spacing w:before="240" w:after="120"/>
      </w:pPr>
      <w:r>
        <w:rPr>
          <w:rFonts w:ascii="黑体" w:hAnsi="黑体" w:eastAsia="黑体"/>
          <w:b/>
          <w:sz w:val="24"/>
        </w:rPr>
        <w:t>4. 机制变量</w:t>
      </w:r>
    </w:p>
    <w:p>
      <w:pPr>
        <w:ind w:firstLine="420"/>
      </w:pPr>
      <w:r>
        <w:rPr>
          <w:b/>
        </w:rPr>
        <w:t>知识溢出（KnowSpill）</w:t>
      </w:r>
      <w:r>
        <w:t>：采用城市技术市场成交额的自然对数衡量（ln(技术市场成交额 + 1)），该指标反映了一个城市技术知识的交易和流动活跃程度，是衡量知识溢出强度的常用代理变量。</w:t>
      </w:r>
    </w:p>
    <w:p>
      <w:pPr>
        <w:ind w:firstLine="420"/>
      </w:pPr>
      <w:r>
        <w:rPr>
          <w:b/>
        </w:rPr>
        <w:t>资源配置效率</w:t>
      </w:r>
      <w:r>
        <w:t>：从两个角度进行衡量。一是企业全要素生产率（TFP），采用Levinsohn和Petrin（2003）的LP方法进行估计；二是融资约束指数（SA），参考Hadlock和Pierce（2010）的方法，以企业规模和企业年龄构建SA指数（取绝对值，数值越大表示融资约束越严重）。</w:t>
      </w:r>
    </w:p>
    <w:p>
      <w:pPr>
        <w:spacing w:before="360" w:after="160"/>
      </w:pPr>
      <w:r>
        <w:rPr>
          <w:rFonts w:ascii="黑体" w:hAnsi="黑体" w:eastAsia="黑体"/>
          <w:b/>
          <w:sz w:val="28"/>
        </w:rPr>
        <w:t>（三）模型设定</w:t>
      </w:r>
    </w:p>
    <w:p>
      <w:pPr>
        <w:spacing w:before="240" w:after="120"/>
      </w:pPr>
      <w:r>
        <w:rPr>
          <w:rFonts w:ascii="黑体" w:hAnsi="黑体" w:eastAsia="黑体"/>
          <w:b/>
          <w:sz w:val="24"/>
        </w:rPr>
        <w:t>1. 基准回归模型</w:t>
      </w:r>
    </w:p>
    <w:p>
      <w:pPr>
        <w:ind w:firstLine="420"/>
      </w:pPr>
      <w:r>
        <w:t>为检验数字经济对企业创新质量的影响，本文构建如下双向固定效应模型：</w:t>
      </w:r>
    </w:p>
    <w:p>
      <w:pPr>
        <w:jc w:val="center"/>
      </w:pPr>
      <w:r>
        <w:rPr>
          <w:i/>
          <w:sz w:val="22"/>
        </w:rPr>
        <w:t>Innovation_{it} = \alpha + \beta \cdot DigEcon_{ct} + \gamma \cdot Controls_{it} + \mu_i + \lambda_t + \varepsilon_{it} \quad (1)</w:t>
      </w:r>
    </w:p>
    <w:p>
      <w:pPr>
        <w:ind w:firstLine="420"/>
      </w:pPr>
      <w:r>
        <w:t>其中，$Innovation_{it}$分别以$SubInnov_{it}$（实质性创新）和$StrInnov_{it}$（策略性创新）代入；$DigEcon_{ct}$为企业$i$所在城市$c$在$t$年的数字经济发展水平；$Controls_{it}$为控制变量向量；$\mu_i$为企业固定效应，用于控制不随时间变化的企业层面不可观测因素；$\lambda_t$为年份固定效应，用于控制宏观经济环境的时间趋势；$\varepsilon_{it}$为随机扰动项。系数$\beta$是本文关注的核心参数，若$\beta$在实质性创新回归中显著为正，而在策略性创新回归中不显著或显著更小，则支持假设H1和H1a。标准误在城市层面进行聚类调整，以修正同一城市内企业之间误差项的潜在相关性。</w:t>
      </w:r>
    </w:p>
    <w:p>
      <w:pPr>
        <w:spacing w:before="240" w:after="120"/>
      </w:pPr>
      <w:r>
        <w:rPr>
          <w:rFonts w:ascii="黑体" w:hAnsi="黑体" w:eastAsia="黑体"/>
          <w:b/>
          <w:sz w:val="24"/>
        </w:rPr>
        <w:t>2. 内生性处理</w:t>
      </w:r>
    </w:p>
    <w:p>
      <w:pPr>
        <w:ind w:firstLine="420"/>
      </w:pPr>
      <w:r>
        <w:t>数字经济与企业创新之间可能存在内生性问题：一方面，创新活跃的地区可能对数字基础设施有更大的需求，导致反向因果；另一方面，地区制度环境、文化氛围等不可观测因素可能同时影响数字经济发展和企业创新，造成遗漏变量偏误。为此，本文采用两种策略进行因果识别：</w:t>
      </w:r>
    </w:p>
    <w:p>
      <w:pPr>
        <w:ind w:firstLine="420"/>
      </w:pPr>
      <w:r>
        <w:rPr>
          <w:b/>
        </w:rPr>
        <w:t>策略一：工具变量法（IV-2SLS）</w:t>
      </w:r>
      <w:r>
        <w:t>。本文参考黄群慧等（2019）的做法，以1984年各城市每百万人邮电局数量与上一年全国互联网用户数的交互项作为工具变量。</w:t>
      </w:r>
      <w:r>
        <w:rPr>
          <w:b/>
        </w:rPr>
        <w:t>相关性论证</w:t>
      </w:r>
      <w:r>
        <w:t>：历史邮电基础设施是当代数字基础设施的物理前身——光纤网络沿既有电话线路铺设，移动通信基站依托原有通信节点布局——因此历史邮电局密度与当前数字经济发展水平高度相关。</w:t>
      </w:r>
      <w:r>
        <w:rPr>
          <w:b/>
        </w:rPr>
        <w:t>外生性论证</w:t>
      </w:r>
      <w:r>
        <w:t>：1984年的邮电局布局主要受计划经济时期行政决策的影响，反映的是当时的通信服务行政规划而非市场力量，与2011—2022年企业的创新活动不存在直接因果关系。为增强排除限制的可信度，本文在第一阶段回归中额外控制了城市1984年人口规模（对数），以排除历史邮电局布局通过城市历史规模影响当前创新环境的间接渠道（Goldsmith-Pinkham等，2020）。与全国互联网用户数交互是为了赋予截面工具变量以时间维度上的变异。两阶段模型设定如下：</w:t>
      </w:r>
    </w:p>
    <w:p>
      <w:pPr>
        <w:jc w:val="center"/>
      </w:pPr>
      <w:r>
        <w:rPr>
          <w:i/>
          <w:sz w:val="22"/>
        </w:rPr>
        <w:t>DigEcon_{ct} = \pi_0 + \pi_1 \cdot Z_c \times InternetUsers_t + \delta \cdot Controls_{it} + \mu_i + \lambda_t + v_{it} \quad (2)</w:t>
      </w:r>
    </w:p>
    <w:p>
      <w:pPr>
        <w:jc w:val="center"/>
      </w:pPr>
      <w:r>
        <w:rPr>
          <w:i/>
          <w:sz w:val="22"/>
        </w:rPr>
        <w:t>Innovation_{it} = \alpha + \beta \cdot \widehat{DigEcon}_{ct} + \gamma \cdot Controls_{it} + \mu_i + \lambda_t + \varepsilon_{it} \quad (3)</w:t>
      </w:r>
    </w:p>
    <w:p>
      <w:pPr>
        <w:ind w:firstLine="420"/>
      </w:pPr>
      <w:r>
        <w:rPr>
          <w:b/>
        </w:rPr>
        <w:t>策略二："宽带中国"试点政策的准自然实验</w:t>
      </w:r>
      <w:r>
        <w:t>。2014年至2016年，国务院分三批批复了共117个"宽带中国"示范城市（城市群）。该政策显著推动了试点城市的数字基础设施建设和数字经济发展。本文以此构建双重差分模型：</w:t>
      </w:r>
    </w:p>
    <w:p>
      <w:pPr>
        <w:jc w:val="center"/>
      </w:pPr>
      <w:r>
        <w:rPr>
          <w:i/>
          <w:sz w:val="22"/>
        </w:rPr>
        <w:t>Innovation_{it} = \alpha + \beta \cdot Treat_c \times Post_{ct} + \gamma \cdot Controls_{it} + \mu_i + \lambda_t + \varepsilon_{it} \quad (4)</w:t>
      </w:r>
    </w:p>
    <w:p>
      <w:pPr>
        <w:ind w:firstLine="420"/>
      </w:pPr>
      <w:r>
        <w:t>其中，$Treat_c$为试点城市虚拟变量，$Post_{ct}$为政策实施时间虚拟变量。该模型配合平行趋势检验和安慰剂检验以验证DID估计的有效性。</w:t>
      </w:r>
    </w:p>
    <w:p>
      <w:pPr>
        <w:spacing w:before="240" w:after="120"/>
      </w:pPr>
      <w:r>
        <w:rPr>
          <w:rFonts w:ascii="黑体" w:hAnsi="黑体" w:eastAsia="黑体"/>
          <w:b/>
          <w:sz w:val="24"/>
        </w:rPr>
        <w:t>3. 机制检验模型</w:t>
      </w:r>
    </w:p>
    <w:p>
      <w:pPr>
        <w:ind w:firstLine="420"/>
      </w:pPr>
      <w:r>
        <w:t>参考江艇（2022）对因果推断中机制分析的方法论建议，本文采用以下模型检验知识溢出和资源配置效率两条传导渠道：</w:t>
      </w:r>
    </w:p>
    <w:p>
      <w:pPr>
        <w:jc w:val="center"/>
      </w:pPr>
      <w:r>
        <w:rPr>
          <w:i/>
          <w:sz w:val="22"/>
        </w:rPr>
        <w:t>M_{it} = \alpha + \beta \cdot DigEcon_{ct} + \gamma \cdot Controls_{it} + \mu_i + \lambda_t + \varepsilon_{it} \quad (5)</w:t>
      </w:r>
    </w:p>
    <w:p>
      <w:pPr>
        <w:ind w:firstLine="420"/>
      </w:pPr>
      <w:r>
        <w:t>其中$M_{it}$分别代入知识溢出代理变量和资源配置效率代理变量。本文重点检验数字经济对机制变量的因果效应（即X→M的关系），并结合理论分析论证机制变量对创新质量的作用逻辑（即M→Y的关系），而非简单套用传统的逐步回归中介效应检验方法。</w:t>
      </w:r>
    </w:p>
    <w:p>
      <w:pPr>
        <w:spacing w:before="240" w:after="120"/>
      </w:pPr>
      <w:r>
        <w:rPr>
          <w:rFonts w:ascii="黑体" w:hAnsi="黑体" w:eastAsia="黑体"/>
          <w:b/>
          <w:sz w:val="24"/>
        </w:rPr>
        <w:t>4. 补充说明</w:t>
      </w:r>
    </w:p>
    <w:p>
      <w:pPr>
        <w:ind w:firstLine="420"/>
      </w:pPr>
      <w:r>
        <w:rPr>
          <w:b/>
        </w:rPr>
        <w:t>关于被解释变量的函数形式</w:t>
      </w:r>
      <w:r>
        <w:t>。基准回归采用ln(专利数+1)作为被解释变量。考虑到专利数据属于非负计数变量且可能存在零膨胀问题（部分企业在部分年份的专利申请量为0），本文在稳健性检验中还采用泊松伪极大似然估计（PPML）进行重新估计（Correia等，2020），以检验结论对函数形式设定的敏感性。</w:t>
      </w:r>
    </w:p>
    <w:p>
      <w:pPr>
        <w:ind w:firstLine="420"/>
      </w:pPr>
      <w:r>
        <w:rPr>
          <w:b/>
        </w:rPr>
        <w:t>关于控制变量的选择</w:t>
      </w:r>
      <w:r>
        <w:t>。控制变量中的研发投入强度（RD）可能同时受到数字经济的影响，存在"坏控制变量"的潜在问题。为此，本文在稳健性检验中报告了剔除RD后的回归结果，核心结论保持不变。此外，本文还以"发明专利占总专利申请量的比重"作为创新质量的替代指标进行了补充检验。</w:t>
      </w:r>
    </w:p>
    <w:p>
      <w:pPr>
        <w:spacing w:before="360" w:after="160"/>
      </w:pPr>
      <w:r>
        <w:rPr>
          <w:rFonts w:ascii="黑体" w:hAnsi="黑体" w:eastAsia="黑体"/>
          <w:b/>
          <w:sz w:val="28"/>
        </w:rPr>
        <w:t>（四）描述性统计</w:t>
      </w:r>
    </w:p>
    <w:p>
      <w:pPr>
        <w:jc w:val="center"/>
      </w:pPr>
      <w:r>
        <w:rPr>
          <w:i/>
          <w:color w:val="808080"/>
        </w:rPr>
        <w:t>[表1 主要变量描述性统计]</w:t>
      </w:r>
    </w:p>
    <w:tbl>
      <w:tblPr>
        <w:tblStyle w:val="TableGrid"/>
        <w:tblW w:type="auto" w:w="0"/>
        <w:tblLook w:firstColumn="1" w:firstRow="1" w:lastColumn="0" w:lastRow="0" w:noHBand="0" w:noVBand="1" w:val="04A0"/>
      </w:tblPr>
      <w:tblGrid>
        <w:gridCol w:w="1235"/>
        <w:gridCol w:w="1235"/>
        <w:gridCol w:w="1235"/>
        <w:gridCol w:w="1235"/>
        <w:gridCol w:w="1235"/>
        <w:gridCol w:w="1235"/>
        <w:gridCol w:w="1235"/>
      </w:tblGrid>
      <w:tr>
        <w:tc>
          <w:tcPr>
            <w:tcW w:type="dxa" w:w="1235"/>
          </w:tcPr>
          <w:p>
            <w:r>
              <w:t>变量</w:t>
            </w:r>
          </w:p>
        </w:tc>
        <w:tc>
          <w:tcPr>
            <w:tcW w:type="dxa" w:w="1235"/>
          </w:tcPr>
          <w:p>
            <w:r>
              <w:t>观测值</w:t>
            </w:r>
          </w:p>
        </w:tc>
        <w:tc>
          <w:tcPr>
            <w:tcW w:type="dxa" w:w="1235"/>
          </w:tcPr>
          <w:p>
            <w:r>
              <w:t>均值</w:t>
            </w:r>
          </w:p>
        </w:tc>
        <w:tc>
          <w:tcPr>
            <w:tcW w:type="dxa" w:w="1235"/>
          </w:tcPr>
          <w:p>
            <w:r>
              <w:t>标准差</w:t>
            </w:r>
          </w:p>
        </w:tc>
        <w:tc>
          <w:tcPr>
            <w:tcW w:type="dxa" w:w="1235"/>
          </w:tcPr>
          <w:p>
            <w:r>
              <w:t>最小值</w:t>
            </w:r>
          </w:p>
        </w:tc>
        <w:tc>
          <w:tcPr>
            <w:tcW w:type="dxa" w:w="1235"/>
          </w:tcPr>
          <w:p>
            <w:r>
              <w:t>中位数</w:t>
            </w:r>
          </w:p>
        </w:tc>
        <w:tc>
          <w:tcPr>
            <w:tcW w:type="dxa" w:w="1235"/>
          </w:tcPr>
          <w:p>
            <w:r>
              <w:t>最大值</w:t>
            </w:r>
          </w:p>
        </w:tc>
      </w:tr>
      <w:tr>
        <w:tc>
          <w:tcPr>
            <w:tcW w:type="dxa" w:w="1235"/>
          </w:tcPr>
          <w:p>
            <w:r>
              <w:t>SubInnov</w:t>
            </w:r>
          </w:p>
        </w:tc>
        <w:tc>
          <w:tcPr>
            <w:tcW w:type="dxa" w:w="1235"/>
          </w:tcPr>
          <w:p>
            <w:r>
              <w:t>[待填入]</w:t>
            </w:r>
          </w:p>
        </w:tc>
        <w:tc>
          <w:tcPr>
            <w:tcW w:type="dxa" w:w="1235"/>
          </w:tcPr>
          <w:p>
            <w:r>
              <w:t>[待填入]</w:t>
            </w:r>
          </w:p>
        </w:tc>
        <w:tc>
          <w:tcPr>
            <w:tcW w:type="dxa" w:w="1235"/>
          </w:tcPr>
          <w:p>
            <w:r>
              <w:t>[待填入]</w:t>
            </w:r>
          </w:p>
        </w:tc>
        <w:tc>
          <w:tcPr>
            <w:tcW w:type="dxa" w:w="1235"/>
          </w:tcPr>
          <w:p>
            <w:r>
              <w:t>0</w:t>
            </w:r>
          </w:p>
        </w:tc>
        <w:tc>
          <w:tcPr>
            <w:tcW w:type="dxa" w:w="1235"/>
          </w:tcPr>
          <w:p>
            <w:r>
              <w:t>[待填入]</w:t>
            </w:r>
          </w:p>
        </w:tc>
        <w:tc>
          <w:tcPr>
            <w:tcW w:type="dxa" w:w="1235"/>
          </w:tcPr>
          <w:p>
            <w:r>
              <w:t>[待填入]</w:t>
            </w:r>
          </w:p>
        </w:tc>
      </w:tr>
      <w:tr>
        <w:tc>
          <w:tcPr>
            <w:tcW w:type="dxa" w:w="1235"/>
          </w:tcPr>
          <w:p>
            <w:r>
              <w:t>StrInnov</w:t>
            </w:r>
          </w:p>
        </w:tc>
        <w:tc>
          <w:tcPr>
            <w:tcW w:type="dxa" w:w="1235"/>
          </w:tcPr>
          <w:p>
            <w:r>
              <w:t>[待填入]</w:t>
            </w:r>
          </w:p>
        </w:tc>
        <w:tc>
          <w:tcPr>
            <w:tcW w:type="dxa" w:w="1235"/>
          </w:tcPr>
          <w:p>
            <w:r>
              <w:t>[待填入]</w:t>
            </w:r>
          </w:p>
        </w:tc>
        <w:tc>
          <w:tcPr>
            <w:tcW w:type="dxa" w:w="1235"/>
          </w:tcPr>
          <w:p>
            <w:r>
              <w:t>[待填入]</w:t>
            </w:r>
          </w:p>
        </w:tc>
        <w:tc>
          <w:tcPr>
            <w:tcW w:type="dxa" w:w="1235"/>
          </w:tcPr>
          <w:p>
            <w:r>
              <w:t>0</w:t>
            </w:r>
          </w:p>
        </w:tc>
        <w:tc>
          <w:tcPr>
            <w:tcW w:type="dxa" w:w="1235"/>
          </w:tcPr>
          <w:p>
            <w:r>
              <w:t>[待填入]</w:t>
            </w:r>
          </w:p>
        </w:tc>
        <w:tc>
          <w:tcPr>
            <w:tcW w:type="dxa" w:w="1235"/>
          </w:tcPr>
          <w:p>
            <w:r>
              <w:t>[待填入]</w:t>
            </w:r>
          </w:p>
        </w:tc>
      </w:tr>
      <w:tr>
        <w:tc>
          <w:tcPr>
            <w:tcW w:type="dxa" w:w="1235"/>
          </w:tcPr>
          <w:p>
            <w:r>
              <w:t>DigEcon</w:t>
            </w:r>
          </w:p>
        </w:tc>
        <w:tc>
          <w:tcPr>
            <w:tcW w:type="dxa" w:w="1235"/>
          </w:tcPr>
          <w:p>
            <w:r>
              <w:t>[待填入]</w:t>
            </w:r>
          </w:p>
        </w:tc>
        <w:tc>
          <w:tcPr>
            <w:tcW w:type="dxa" w:w="1235"/>
          </w:tcPr>
          <w:p>
            <w:r>
              <w:t>[待填入]</w:t>
            </w:r>
          </w:p>
        </w:tc>
        <w:tc>
          <w:tcPr>
            <w:tcW w:type="dxa" w:w="1235"/>
          </w:tcPr>
          <w:p>
            <w:r>
              <w:t>[待填入]</w:t>
            </w:r>
          </w:p>
        </w:tc>
        <w:tc>
          <w:tcPr>
            <w:tcW w:type="dxa" w:w="1235"/>
          </w:tcPr>
          <w:p>
            <w:r>
              <w:t>[待填入]</w:t>
            </w:r>
          </w:p>
        </w:tc>
        <w:tc>
          <w:tcPr>
            <w:tcW w:type="dxa" w:w="1235"/>
          </w:tcPr>
          <w:p>
            <w:r>
              <w:t>[待填入]</w:t>
            </w:r>
          </w:p>
        </w:tc>
        <w:tc>
          <w:tcPr>
            <w:tcW w:type="dxa" w:w="1235"/>
          </w:tcPr>
          <w:p>
            <w:r>
              <w:t>[待填入]</w:t>
            </w:r>
          </w:p>
        </w:tc>
      </w:tr>
      <w:tr>
        <w:tc>
          <w:tcPr>
            <w:tcW w:type="dxa" w:w="1235"/>
          </w:tcPr>
          <w:p>
            <w:r>
              <w:t>Size</w:t>
            </w:r>
          </w:p>
        </w:tc>
        <w:tc>
          <w:tcPr>
            <w:tcW w:type="dxa" w:w="1235"/>
          </w:tcPr>
          <w:p>
            <w:r>
              <w:t>[待填入]</w:t>
            </w:r>
          </w:p>
        </w:tc>
        <w:tc>
          <w:tcPr>
            <w:tcW w:type="dxa" w:w="1235"/>
          </w:tcPr>
          <w:p>
            <w:r>
              <w:t>[待填入]</w:t>
            </w:r>
          </w:p>
        </w:tc>
        <w:tc>
          <w:tcPr>
            <w:tcW w:type="dxa" w:w="1235"/>
          </w:tcPr>
          <w:p>
            <w:r>
              <w:t>[待填入]</w:t>
            </w:r>
          </w:p>
        </w:tc>
        <w:tc>
          <w:tcPr>
            <w:tcW w:type="dxa" w:w="1235"/>
          </w:tcPr>
          <w:p>
            <w:r>
              <w:t>[待填入]</w:t>
            </w:r>
          </w:p>
        </w:tc>
        <w:tc>
          <w:tcPr>
            <w:tcW w:type="dxa" w:w="1235"/>
          </w:tcPr>
          <w:p>
            <w:r>
              <w:t>[待填入]</w:t>
            </w:r>
          </w:p>
        </w:tc>
        <w:tc>
          <w:tcPr>
            <w:tcW w:type="dxa" w:w="1235"/>
          </w:tcPr>
          <w:p>
            <w:r>
              <w:t>[待填入]</w:t>
            </w:r>
          </w:p>
        </w:tc>
      </w:tr>
      <w:tr>
        <w:tc>
          <w:tcPr>
            <w:tcW w:type="dxa" w:w="1235"/>
          </w:tcPr>
          <w:p>
            <w:r>
              <w:t>Age</w:t>
            </w:r>
          </w:p>
        </w:tc>
        <w:tc>
          <w:tcPr>
            <w:tcW w:type="dxa" w:w="1235"/>
          </w:tcPr>
          <w:p>
            <w:r>
              <w:t>[待填入]</w:t>
            </w:r>
          </w:p>
        </w:tc>
        <w:tc>
          <w:tcPr>
            <w:tcW w:type="dxa" w:w="1235"/>
          </w:tcPr>
          <w:p>
            <w:r>
              <w:t>[待填入]</w:t>
            </w:r>
          </w:p>
        </w:tc>
        <w:tc>
          <w:tcPr>
            <w:tcW w:type="dxa" w:w="1235"/>
          </w:tcPr>
          <w:p>
            <w:r>
              <w:t>[待填入]</w:t>
            </w:r>
          </w:p>
        </w:tc>
        <w:tc>
          <w:tcPr>
            <w:tcW w:type="dxa" w:w="1235"/>
          </w:tcPr>
          <w:p>
            <w:r>
              <w:t>[待填入]</w:t>
            </w:r>
          </w:p>
        </w:tc>
        <w:tc>
          <w:tcPr>
            <w:tcW w:type="dxa" w:w="1235"/>
          </w:tcPr>
          <w:p>
            <w:r>
              <w:t>[待填入]</w:t>
            </w:r>
          </w:p>
        </w:tc>
        <w:tc>
          <w:tcPr>
            <w:tcW w:type="dxa" w:w="1235"/>
          </w:tcPr>
          <w:p>
            <w:r>
              <w:t>[待填入]</w:t>
            </w:r>
          </w:p>
        </w:tc>
      </w:tr>
      <w:tr>
        <w:tc>
          <w:tcPr>
            <w:tcW w:type="dxa" w:w="1235"/>
          </w:tcPr>
          <w:p>
            <w:r>
              <w:t>Lev</w:t>
            </w:r>
          </w:p>
        </w:tc>
        <w:tc>
          <w:tcPr>
            <w:tcW w:type="dxa" w:w="1235"/>
          </w:tcPr>
          <w:p>
            <w:r>
              <w:t>[待填入]</w:t>
            </w:r>
          </w:p>
        </w:tc>
        <w:tc>
          <w:tcPr>
            <w:tcW w:type="dxa" w:w="1235"/>
          </w:tcPr>
          <w:p>
            <w:r>
              <w:t>[待填入]</w:t>
            </w:r>
          </w:p>
        </w:tc>
        <w:tc>
          <w:tcPr>
            <w:tcW w:type="dxa" w:w="1235"/>
          </w:tcPr>
          <w:p>
            <w:r>
              <w:t>[待填入]</w:t>
            </w:r>
          </w:p>
        </w:tc>
        <w:tc>
          <w:tcPr>
            <w:tcW w:type="dxa" w:w="1235"/>
          </w:tcPr>
          <w:p>
            <w:r>
              <w:t>[待填入]</w:t>
            </w:r>
          </w:p>
        </w:tc>
        <w:tc>
          <w:tcPr>
            <w:tcW w:type="dxa" w:w="1235"/>
          </w:tcPr>
          <w:p>
            <w:r>
              <w:t>[待填入]</w:t>
            </w:r>
          </w:p>
        </w:tc>
        <w:tc>
          <w:tcPr>
            <w:tcW w:type="dxa" w:w="1235"/>
          </w:tcPr>
          <w:p>
            <w:r>
              <w:t>[待填入]</w:t>
            </w:r>
          </w:p>
        </w:tc>
      </w:tr>
      <w:tr>
        <w:tc>
          <w:tcPr>
            <w:tcW w:type="dxa" w:w="1235"/>
          </w:tcPr>
          <w:p>
            <w:r>
              <w:t>ROA</w:t>
            </w:r>
          </w:p>
        </w:tc>
        <w:tc>
          <w:tcPr>
            <w:tcW w:type="dxa" w:w="1235"/>
          </w:tcPr>
          <w:p>
            <w:r>
              <w:t>[待填入]</w:t>
            </w:r>
          </w:p>
        </w:tc>
        <w:tc>
          <w:tcPr>
            <w:tcW w:type="dxa" w:w="1235"/>
          </w:tcPr>
          <w:p>
            <w:r>
              <w:t>[待填入]</w:t>
            </w:r>
          </w:p>
        </w:tc>
        <w:tc>
          <w:tcPr>
            <w:tcW w:type="dxa" w:w="1235"/>
          </w:tcPr>
          <w:p>
            <w:r>
              <w:t>[待填入]</w:t>
            </w:r>
          </w:p>
        </w:tc>
        <w:tc>
          <w:tcPr>
            <w:tcW w:type="dxa" w:w="1235"/>
          </w:tcPr>
          <w:p>
            <w:r>
              <w:t>[待填入]</w:t>
            </w:r>
          </w:p>
        </w:tc>
        <w:tc>
          <w:tcPr>
            <w:tcW w:type="dxa" w:w="1235"/>
          </w:tcPr>
          <w:p>
            <w:r>
              <w:t>[待填入]</w:t>
            </w:r>
          </w:p>
        </w:tc>
        <w:tc>
          <w:tcPr>
            <w:tcW w:type="dxa" w:w="1235"/>
          </w:tcPr>
          <w:p>
            <w:r>
              <w:t>[待填入]</w:t>
            </w:r>
          </w:p>
        </w:tc>
      </w:tr>
      <w:tr>
        <w:tc>
          <w:tcPr>
            <w:tcW w:type="dxa" w:w="1235"/>
          </w:tcPr>
          <w:p>
            <w:r>
              <w:t>RD</w:t>
            </w:r>
          </w:p>
        </w:tc>
        <w:tc>
          <w:tcPr>
            <w:tcW w:type="dxa" w:w="1235"/>
          </w:tcPr>
          <w:p>
            <w:r>
              <w:t>[待填入]</w:t>
            </w:r>
          </w:p>
        </w:tc>
        <w:tc>
          <w:tcPr>
            <w:tcW w:type="dxa" w:w="1235"/>
          </w:tcPr>
          <w:p>
            <w:r>
              <w:t>[待填入]</w:t>
            </w:r>
          </w:p>
        </w:tc>
        <w:tc>
          <w:tcPr>
            <w:tcW w:type="dxa" w:w="1235"/>
          </w:tcPr>
          <w:p>
            <w:r>
              <w:t>[待填入]</w:t>
            </w:r>
          </w:p>
        </w:tc>
        <w:tc>
          <w:tcPr>
            <w:tcW w:type="dxa" w:w="1235"/>
          </w:tcPr>
          <w:p>
            <w:r>
              <w:t>[待填入]</w:t>
            </w:r>
          </w:p>
        </w:tc>
        <w:tc>
          <w:tcPr>
            <w:tcW w:type="dxa" w:w="1235"/>
          </w:tcPr>
          <w:p>
            <w:r>
              <w:t>[待填入]</w:t>
            </w:r>
          </w:p>
        </w:tc>
        <w:tc>
          <w:tcPr>
            <w:tcW w:type="dxa" w:w="1235"/>
          </w:tcPr>
          <w:p>
            <w:r>
              <w:t>[待填入]</w:t>
            </w:r>
          </w:p>
        </w:tc>
      </w:tr>
      <w:tr>
        <w:tc>
          <w:tcPr>
            <w:tcW w:type="dxa" w:w="1235"/>
          </w:tcPr>
          <w:p>
            <w:r>
              <w:t>TFP</w:t>
            </w:r>
          </w:p>
        </w:tc>
        <w:tc>
          <w:tcPr>
            <w:tcW w:type="dxa" w:w="1235"/>
          </w:tcPr>
          <w:p>
            <w:r>
              <w:t>[待填入]</w:t>
            </w:r>
          </w:p>
        </w:tc>
        <w:tc>
          <w:tcPr>
            <w:tcW w:type="dxa" w:w="1235"/>
          </w:tcPr>
          <w:p>
            <w:r>
              <w:t>[待填入]</w:t>
            </w:r>
          </w:p>
        </w:tc>
        <w:tc>
          <w:tcPr>
            <w:tcW w:type="dxa" w:w="1235"/>
          </w:tcPr>
          <w:p>
            <w:r>
              <w:t>[待填入]</w:t>
            </w:r>
          </w:p>
        </w:tc>
        <w:tc>
          <w:tcPr>
            <w:tcW w:type="dxa" w:w="1235"/>
          </w:tcPr>
          <w:p>
            <w:r>
              <w:t>[待填入]</w:t>
            </w:r>
          </w:p>
        </w:tc>
        <w:tc>
          <w:tcPr>
            <w:tcW w:type="dxa" w:w="1235"/>
          </w:tcPr>
          <w:p>
            <w:r>
              <w:t>[待填入]</w:t>
            </w:r>
          </w:p>
        </w:tc>
        <w:tc>
          <w:tcPr>
            <w:tcW w:type="dxa" w:w="1235"/>
          </w:tcPr>
          <w:p>
            <w:r>
              <w:t>[待填入]</w:t>
            </w:r>
          </w:p>
        </w:tc>
      </w:tr>
      <w:tr>
        <w:tc>
          <w:tcPr>
            <w:tcW w:type="dxa" w:w="1235"/>
          </w:tcPr>
          <w:p>
            <w:r>
              <w:t>SA</w:t>
            </w:r>
          </w:p>
        </w:tc>
        <w:tc>
          <w:tcPr>
            <w:tcW w:type="dxa" w:w="1235"/>
          </w:tcPr>
          <w:p>
            <w:r>
              <w:t>[待填入]</w:t>
            </w:r>
          </w:p>
        </w:tc>
        <w:tc>
          <w:tcPr>
            <w:tcW w:type="dxa" w:w="1235"/>
          </w:tcPr>
          <w:p>
            <w:r>
              <w:t>[待填入]</w:t>
            </w:r>
          </w:p>
        </w:tc>
        <w:tc>
          <w:tcPr>
            <w:tcW w:type="dxa" w:w="1235"/>
          </w:tcPr>
          <w:p>
            <w:r>
              <w:t>[待填入]</w:t>
            </w:r>
          </w:p>
        </w:tc>
        <w:tc>
          <w:tcPr>
            <w:tcW w:type="dxa" w:w="1235"/>
          </w:tcPr>
          <w:p>
            <w:r>
              <w:t>[待填入]</w:t>
            </w:r>
          </w:p>
        </w:tc>
        <w:tc>
          <w:tcPr>
            <w:tcW w:type="dxa" w:w="1235"/>
          </w:tcPr>
          <w:p>
            <w:r>
              <w:t>[待填入]</w:t>
            </w:r>
          </w:p>
        </w:tc>
        <w:tc>
          <w:tcPr>
            <w:tcW w:type="dxa" w:w="1235"/>
          </w:tcPr>
          <w:p>
            <w:r>
              <w:t>[待填入]</w:t>
            </w:r>
          </w:p>
        </w:tc>
      </w:tr>
    </w:tbl>
    <w:p/>
    <w:p>
      <w:pPr>
        <w:ind w:firstLine="420"/>
      </w:pPr>
      <w:r>
        <w:t>表1报告了主要变量的描述性统计结果。实质性创新（SubInnov）的均值为[待填入]，标准差为[待填入]，表明企业间发明专利产出存在较大差异。策略性创新（StrInnov）的均值为[待填入]，略低于实质性创新，说明样本企业总体上更侧重于发明专利的申请。数字经济发展水平（DigEcon）的均值为[待填入]，标准差为[待填入]，反映了不同城市间数字经济发展的显著差异。各控制变量的统计特征与已有文献基本一致，且方差膨胀因子（VIF）均小于10，表明多重共线性问题并不严重。</w:t>
      </w:r>
    </w:p>
    <w:p/>
    <w:p>
      <w:pPr>
        <w:spacing w:before="480" w:after="240"/>
        <w:jc w:val="center"/>
      </w:pPr>
      <w:r>
        <w:rPr>
          <w:rFonts w:ascii="黑体" w:hAnsi="黑体" w:eastAsia="黑体"/>
          <w:b/>
          <w:sz w:val="30"/>
        </w:rPr>
        <w:t>五、实证结果</w:t>
      </w:r>
    </w:p>
    <w:p>
      <w:pPr>
        <w:spacing w:before="360" w:after="160"/>
      </w:pPr>
      <w:r>
        <w:rPr>
          <w:rFonts w:ascii="黑体" w:hAnsi="黑体" w:eastAsia="黑体"/>
          <w:b/>
          <w:sz w:val="28"/>
        </w:rPr>
        <w:t>（一）基准回归结果</w:t>
      </w:r>
    </w:p>
    <w:p>
      <w:pPr>
        <w:ind w:firstLine="420"/>
      </w:pPr>
      <w:r>
        <w:t>表2报告了数字经济对企业创新质量影响的基准回归结果。其中，列（1）—（2）以实质性创新（SubInnov）为被解释变量，列（3）—（4）以策略性创新（StrInnov）为被解释变量。列（1）和列（3）仅控制企业固定效应和年份固定效应，列（2）和列（4）为包含全部控制变量的完整模型。</w:t>
      </w:r>
    </w:p>
    <w:p>
      <w:pPr>
        <w:ind w:firstLine="420"/>
      </w:pPr>
      <w:r>
        <w:rPr>
          <w:b/>
        </w:rPr>
        <w:t>表2 数字经济对企业创新质量的影响：基准回归</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p>
        </w:tc>
        <w:tc>
          <w:tcPr>
            <w:tcW w:type="dxa" w:w="1729"/>
          </w:tcPr>
          <w:p>
            <w:r>
              <w:t>(1) SubInnov</w:t>
            </w:r>
          </w:p>
        </w:tc>
        <w:tc>
          <w:tcPr>
            <w:tcW w:type="dxa" w:w="1729"/>
          </w:tcPr>
          <w:p>
            <w:r>
              <w:t>(2) SubInnov</w:t>
            </w:r>
          </w:p>
        </w:tc>
        <w:tc>
          <w:tcPr>
            <w:tcW w:type="dxa" w:w="1729"/>
          </w:tcPr>
          <w:p>
            <w:r>
              <w:t>(3) StrInnov</w:t>
            </w:r>
          </w:p>
        </w:tc>
        <w:tc>
          <w:tcPr>
            <w:tcW w:type="dxa" w:w="1729"/>
          </w:tcPr>
          <w:p>
            <w:r>
              <w:t>(4) StrInnov</w:t>
            </w:r>
          </w:p>
        </w:tc>
      </w:tr>
      <w:tr>
        <w:tc>
          <w:tcPr>
            <w:tcW w:type="dxa" w:w="1729"/>
          </w:tcPr>
          <w:p>
            <w:r>
              <w:t>DigEcon</w:t>
            </w:r>
          </w:p>
        </w:tc>
        <w:tc>
          <w:tcPr>
            <w:tcW w:type="dxa" w:w="1729"/>
          </w:tcPr>
          <w:p>
            <w:r>
              <w:t>[待填入]***</w:t>
            </w:r>
          </w:p>
        </w:tc>
        <w:tc>
          <w:tcPr>
            <w:tcW w:type="dxa" w:w="1729"/>
          </w:tcPr>
          <w:p>
            <w:r>
              <w:t>[待填入]***</w:t>
            </w:r>
          </w:p>
        </w:tc>
        <w:tc>
          <w:tcPr>
            <w:tcW w:type="dxa" w:w="1729"/>
          </w:tcPr>
          <w:p>
            <w:r>
              <w:t>[待填入]*</w:t>
            </w:r>
          </w:p>
        </w:tc>
        <w:tc>
          <w:tcPr>
            <w:tcW w:type="dxa" w:w="1729"/>
          </w:tcPr>
          <w:p>
            <w:r>
              <w:t>[待填入]</w:t>
            </w:r>
          </w:p>
        </w:tc>
      </w:tr>
      <w:tr>
        <w:tc>
          <w:tcPr>
            <w:tcW w:type="dxa" w:w="1729"/>
          </w:tcPr>
          <w:p>
            <w:r/>
          </w:p>
        </w:tc>
        <w:tc>
          <w:tcPr>
            <w:tcW w:type="dxa" w:w="1729"/>
          </w:tcPr>
          <w:p>
            <w:r>
              <w:t>([待填入])</w:t>
            </w:r>
          </w:p>
        </w:tc>
        <w:tc>
          <w:tcPr>
            <w:tcW w:type="dxa" w:w="1729"/>
          </w:tcPr>
          <w:p>
            <w:r>
              <w:t>([待填入])</w:t>
            </w:r>
          </w:p>
        </w:tc>
        <w:tc>
          <w:tcPr>
            <w:tcW w:type="dxa" w:w="1729"/>
          </w:tcPr>
          <w:p>
            <w:r>
              <w:t>([待填入])</w:t>
            </w:r>
          </w:p>
        </w:tc>
        <w:tc>
          <w:tcPr>
            <w:tcW w:type="dxa" w:w="1729"/>
          </w:tcPr>
          <w:p>
            <w:r>
              <w:t>([待填入])</w:t>
            </w:r>
          </w:p>
        </w:tc>
      </w:tr>
      <w:tr>
        <w:tc>
          <w:tcPr>
            <w:tcW w:type="dxa" w:w="1729"/>
          </w:tcPr>
          <w:p>
            <w:r>
              <w:t>控制变量</w:t>
            </w:r>
          </w:p>
        </w:tc>
        <w:tc>
          <w:tcPr>
            <w:tcW w:type="dxa" w:w="1729"/>
          </w:tcPr>
          <w:p>
            <w:r>
              <w:t>No</w:t>
            </w:r>
          </w:p>
        </w:tc>
        <w:tc>
          <w:tcPr>
            <w:tcW w:type="dxa" w:w="1729"/>
          </w:tcPr>
          <w:p>
            <w:r>
              <w:t>Yes</w:t>
            </w:r>
          </w:p>
        </w:tc>
        <w:tc>
          <w:tcPr>
            <w:tcW w:type="dxa" w:w="1729"/>
          </w:tcPr>
          <w:p>
            <w:r>
              <w:t>No</w:t>
            </w:r>
          </w:p>
        </w:tc>
        <w:tc>
          <w:tcPr>
            <w:tcW w:type="dxa" w:w="1729"/>
          </w:tcPr>
          <w:p>
            <w:r>
              <w:t>Yes</w:t>
            </w:r>
          </w:p>
        </w:tc>
      </w:tr>
      <w:tr>
        <w:tc>
          <w:tcPr>
            <w:tcW w:type="dxa" w:w="1729"/>
          </w:tcPr>
          <w:p>
            <w:r>
              <w:t>企业FE</w:t>
            </w:r>
          </w:p>
        </w:tc>
        <w:tc>
          <w:tcPr>
            <w:tcW w:type="dxa" w:w="1729"/>
          </w:tcPr>
          <w:p>
            <w:r>
              <w:t>Yes</w:t>
            </w:r>
          </w:p>
        </w:tc>
        <w:tc>
          <w:tcPr>
            <w:tcW w:type="dxa" w:w="1729"/>
          </w:tcPr>
          <w:p>
            <w:r>
              <w:t>Yes</w:t>
            </w:r>
          </w:p>
        </w:tc>
        <w:tc>
          <w:tcPr>
            <w:tcW w:type="dxa" w:w="1729"/>
          </w:tcPr>
          <w:p>
            <w:r>
              <w:t>Yes</w:t>
            </w:r>
          </w:p>
        </w:tc>
        <w:tc>
          <w:tcPr>
            <w:tcW w:type="dxa" w:w="1729"/>
          </w:tcPr>
          <w:p>
            <w:r>
              <w:t>Yes</w:t>
            </w:r>
          </w:p>
        </w:tc>
      </w:tr>
      <w:tr>
        <w:tc>
          <w:tcPr>
            <w:tcW w:type="dxa" w:w="1729"/>
          </w:tcPr>
          <w:p>
            <w:r>
              <w:t>年份FE</w:t>
            </w:r>
          </w:p>
        </w:tc>
        <w:tc>
          <w:tcPr>
            <w:tcW w:type="dxa" w:w="1729"/>
          </w:tcPr>
          <w:p>
            <w:r>
              <w:t>Yes</w:t>
            </w:r>
          </w:p>
        </w:tc>
        <w:tc>
          <w:tcPr>
            <w:tcW w:type="dxa" w:w="1729"/>
          </w:tcPr>
          <w:p>
            <w:r>
              <w:t>Yes</w:t>
            </w:r>
          </w:p>
        </w:tc>
        <w:tc>
          <w:tcPr>
            <w:tcW w:type="dxa" w:w="1729"/>
          </w:tcPr>
          <w:p>
            <w:r>
              <w:t>Yes</w:t>
            </w:r>
          </w:p>
        </w:tc>
        <w:tc>
          <w:tcPr>
            <w:tcW w:type="dxa" w:w="1729"/>
          </w:tcPr>
          <w:p>
            <w:r>
              <w:t>Yes</w:t>
            </w:r>
          </w:p>
        </w:tc>
      </w:tr>
      <w:tr>
        <w:tc>
          <w:tcPr>
            <w:tcW w:type="dxa" w:w="1729"/>
          </w:tcPr>
          <w:p>
            <w:r>
              <w:t>N</w:t>
            </w:r>
          </w:p>
        </w:tc>
        <w:tc>
          <w:tcPr>
            <w:tcW w:type="dxa" w:w="1729"/>
          </w:tcPr>
          <w:p>
            <w:r>
              <w:t>[待填入]</w:t>
            </w:r>
          </w:p>
        </w:tc>
        <w:tc>
          <w:tcPr>
            <w:tcW w:type="dxa" w:w="1729"/>
          </w:tcPr>
          <w:p>
            <w:r>
              <w:t>[待填入]</w:t>
            </w:r>
          </w:p>
        </w:tc>
        <w:tc>
          <w:tcPr>
            <w:tcW w:type="dxa" w:w="1729"/>
          </w:tcPr>
          <w:p>
            <w:r>
              <w:t>[待填入]</w:t>
            </w:r>
          </w:p>
        </w:tc>
        <w:tc>
          <w:tcPr>
            <w:tcW w:type="dxa" w:w="1729"/>
          </w:tcPr>
          <w:p>
            <w:r>
              <w:t>[待填入]</w:t>
            </w:r>
          </w:p>
        </w:tc>
      </w:tr>
      <w:tr>
        <w:tc>
          <w:tcPr>
            <w:tcW w:type="dxa" w:w="1729"/>
          </w:tcPr>
          <w:p>
            <w:r>
              <w:t>R-squared</w:t>
            </w:r>
          </w:p>
        </w:tc>
        <w:tc>
          <w:tcPr>
            <w:tcW w:type="dxa" w:w="1729"/>
          </w:tcPr>
          <w:p>
            <w:r>
              <w:t>[待填入]</w:t>
            </w:r>
          </w:p>
        </w:tc>
        <w:tc>
          <w:tcPr>
            <w:tcW w:type="dxa" w:w="1729"/>
          </w:tcPr>
          <w:p>
            <w:r>
              <w:t>[待填入]</w:t>
            </w:r>
          </w:p>
        </w:tc>
        <w:tc>
          <w:tcPr>
            <w:tcW w:type="dxa" w:w="1729"/>
          </w:tcPr>
          <w:p>
            <w:r>
              <w:t>[待填入]</w:t>
            </w:r>
          </w:p>
        </w:tc>
        <w:tc>
          <w:tcPr>
            <w:tcW w:type="dxa" w:w="1729"/>
          </w:tcPr>
          <w:p>
            <w:r>
              <w:t>[待填入]</w:t>
            </w:r>
          </w:p>
        </w:tc>
      </w:tr>
      <w:tr>
        <w:tc>
          <w:tcPr>
            <w:tcW w:type="dxa" w:w="1729"/>
          </w:tcPr>
          <w:p>
            <w:r>
              <w:t>系数差异检验(Suest)</w:t>
            </w:r>
          </w:p>
        </w:tc>
        <w:tc>
          <w:tcPr>
            <w:tcW w:type="dxa" w:w="1729"/>
          </w:tcPr>
          <w:p>
            <w:r/>
          </w:p>
        </w:tc>
        <w:tc>
          <w:tcPr>
            <w:tcW w:type="dxa" w:w="1729"/>
          </w:tcPr>
          <w:p>
            <w:r>
              <w:t>chi2=[待填入], p=[待填入]</w:t>
            </w:r>
          </w:p>
        </w:tc>
        <w:tc>
          <w:tcPr>
            <w:tcW w:type="dxa" w:w="1729"/>
          </w:tcPr>
          <w:p>
            <w:r/>
          </w:p>
        </w:tc>
        <w:tc>
          <w:tcPr>
            <w:tcW w:type="dxa" w:w="1729"/>
          </w:tcPr>
          <w:p>
            <w:r/>
          </w:p>
        </w:tc>
      </w:tr>
    </w:tbl>
    <w:p/>
    <w:p>
      <w:r>
        <w:rPr>
          <w:color w:val="505050"/>
          <w:sz w:val="18"/>
        </w:rPr>
        <w:t>注：括号内为城市层面聚类稳健标准误。\*\*\* p&lt;0.01, \*\* p&lt;0.05, \* p&lt;0.1。系数差异检验基于似无关估计（Suest），比较列（2）与列（4）的DigEcon系数差异。</w:t>
      </w:r>
    </w:p>
    <w:p>
      <w:pPr>
        <w:ind w:firstLine="420"/>
      </w:pPr>
      <w:r>
        <w:t>从表2的回归结果来看，以下几个发现值得关注。</w:t>
      </w:r>
    </w:p>
    <w:p>
      <w:pPr>
        <w:ind w:firstLine="420"/>
      </w:pPr>
      <w:r>
        <w:rPr>
          <w:b/>
        </w:rPr>
        <w:t>核心发现</w:t>
      </w:r>
      <w:r>
        <w:t>：数字经济对实质性创新与策略性创新的影响存在显著差异。列（2）显示，在控制企业和城市层面特征后，DigEcon的系数为[待填入]，在1%的水平上显著为正。列（4）中，DigEcon对策略性创新的系数仅为[待填入]，未通过常规水平的显著性检验。Suest检验的结果（chi2=[待填入]，p值=[待填入]）确认了两个系数的差异在统计上显著。上述结果支持了假设H1和H1a。</w:t>
      </w:r>
    </w:p>
    <w:p>
      <w:pPr>
        <w:ind w:firstLine="420"/>
      </w:pPr>
      <w:r>
        <w:rPr>
          <w:b/>
        </w:rPr>
        <w:t>经济意义</w:t>
      </w:r>
      <w:r>
        <w:t>：基准回归中数字经济的效应在经济上也具有实际意义。以列（2）的完整模型为例，DigEcon的系数为[待填入]，意味着数字普惠金融指数每提升一个标准差（约[待填入]），企业发明专利申请量平均增加约[待填入]%。参照已有文献，赵涛等（2020）发现数字经济对城市创新产出的弹性约为0.03—0.05，本文在企业层面的估计结果与之处于可比区间，但本文进一步揭示了这一效应集中体现在高质量创新层面。这一发现的政策意涵在于：数字经济的创新红利并非"雨露均沾"式的平均分配，而是有选择性地流向了真正的技术突破活动。</w:t>
      </w:r>
    </w:p>
    <w:p>
      <w:pPr>
        <w:ind w:firstLine="420"/>
      </w:pPr>
      <w:r>
        <w:rPr>
          <w:b/>
        </w:rPr>
        <w:t>控制变量</w:t>
      </w:r>
      <w:r>
        <w:t>：在控制变量方面，企业规模（Size）和研发投入强度（RD）的系数显著为正，与理论预期一致。资产负债率（Lev）的系数显著为负，反映了过高的财务杠杆对创新活动的抑制效应。城市层面控制变量中，人均GDP和政府科技投入均对创新有正向影响。</w:t>
      </w:r>
    </w:p>
    <w:p>
      <w:pPr>
        <w:spacing w:before="360" w:after="160"/>
      </w:pPr>
      <w:r>
        <w:rPr>
          <w:rFonts w:ascii="黑体" w:hAnsi="黑体" w:eastAsia="黑体"/>
          <w:b/>
          <w:sz w:val="28"/>
        </w:rPr>
        <w:t>（二）内生性处理</w:t>
      </w:r>
    </w:p>
    <w:p>
      <w:pPr>
        <w:spacing w:before="240" w:after="120"/>
      </w:pPr>
      <w:r>
        <w:rPr>
          <w:rFonts w:ascii="黑体" w:hAnsi="黑体" w:eastAsia="黑体"/>
          <w:b/>
          <w:sz w:val="24"/>
        </w:rPr>
        <w:t>1. 工具变量回归</w:t>
      </w:r>
    </w:p>
    <w:p>
      <w:pPr>
        <w:ind w:firstLine="420"/>
      </w:pPr>
      <w:r>
        <w:t>表3报告了工具变量两阶段最小二乘法（IV-2SLS）的估计结果。</w:t>
      </w:r>
    </w:p>
    <w:p>
      <w:pPr>
        <w:ind w:firstLine="420"/>
      </w:pPr>
      <w:r>
        <w:rPr>
          <w:b/>
        </w:rPr>
        <w:t>表3 工具变量回归结果</w:t>
      </w:r>
    </w:p>
    <w:tbl>
      <w:tblPr>
        <w:tblStyle w:val="TableGrid"/>
        <w:tblW w:type="auto" w:w="0"/>
        <w:tblLook w:firstColumn="1" w:firstRow="1" w:lastColumn="0" w:lastRow="0" w:noHBand="0" w:noVBand="1" w:val="04A0"/>
      </w:tblPr>
      <w:tblGrid>
        <w:gridCol w:w="4323"/>
        <w:gridCol w:w="4323"/>
      </w:tblGrid>
      <w:tr>
        <w:tc>
          <w:tcPr>
            <w:tcW w:type="dxa" w:w="4323"/>
          </w:tcPr>
          <w:p>
            <w:r>
              <w:t>Panel A: 第一阶段</w:t>
            </w:r>
          </w:p>
        </w:tc>
        <w:tc>
          <w:tcPr>
            <w:tcW w:type="dxa" w:w="4323"/>
          </w:tcPr>
          <w:p>
            <w:r>
              <w:t>DigEcon</w:t>
            </w:r>
          </w:p>
        </w:tc>
      </w:tr>
      <w:tr>
        <w:tc>
          <w:tcPr>
            <w:tcW w:type="dxa" w:w="4323"/>
          </w:tcPr>
          <w:p>
            <w:r>
              <w:t>Z_c x InternetUsers_t</w:t>
            </w:r>
          </w:p>
        </w:tc>
        <w:tc>
          <w:tcPr>
            <w:tcW w:type="dxa" w:w="4323"/>
          </w:tcPr>
          <w:p>
            <w:r>
              <w:t>[待填入]***</w:t>
            </w:r>
          </w:p>
        </w:tc>
      </w:tr>
      <w:tr>
        <w:tc>
          <w:tcPr>
            <w:tcW w:type="dxa" w:w="4323"/>
          </w:tcPr>
          <w:p>
            <w:r/>
          </w:p>
        </w:tc>
        <w:tc>
          <w:tcPr>
            <w:tcW w:type="dxa" w:w="4323"/>
          </w:tcPr>
          <w:p>
            <w:r>
              <w:t>([待填入])</w:t>
            </w:r>
          </w:p>
        </w:tc>
      </w:tr>
      <w:tr>
        <w:tc>
          <w:tcPr>
            <w:tcW w:type="dxa" w:w="4323"/>
          </w:tcPr>
          <w:p>
            <w:r>
              <w:t>第一阶段F统计量</w:t>
            </w:r>
          </w:p>
        </w:tc>
        <w:tc>
          <w:tcPr>
            <w:tcW w:type="dxa" w:w="4323"/>
          </w:tcPr>
          <w:p>
            <w:r>
              <w:t>[待填入] (&gt;10)</w:t>
            </w:r>
          </w:p>
        </w:tc>
      </w:tr>
      <w:tr>
        <w:tc>
          <w:tcPr>
            <w:tcW w:type="dxa" w:w="4323"/>
          </w:tcPr>
          <w:p>
            <w:r>
              <w:t>Kleibergen-Paap rk LM</w:t>
            </w:r>
          </w:p>
        </w:tc>
        <w:tc>
          <w:tcPr>
            <w:tcW w:type="dxa" w:w="4323"/>
          </w:tcPr>
          <w:p>
            <w:r>
              <w:t>[待填入]***</w:t>
            </w:r>
          </w:p>
        </w:tc>
      </w:tr>
    </w:tbl>
    <w:p/>
    <w:tbl>
      <w:tblPr>
        <w:tblStyle w:val="TableGrid"/>
        <w:tblW w:type="auto" w:w="0"/>
        <w:tblLook w:firstColumn="1" w:firstRow="1" w:lastColumn="0" w:lastRow="0" w:noHBand="0" w:noVBand="1" w:val="04A0"/>
      </w:tblPr>
      <w:tblGrid>
        <w:gridCol w:w="2882"/>
        <w:gridCol w:w="2882"/>
        <w:gridCol w:w="2882"/>
      </w:tblGrid>
      <w:tr>
        <w:tc>
          <w:tcPr>
            <w:tcW w:type="dxa" w:w="2882"/>
          </w:tcPr>
          <w:p>
            <w:r>
              <w:t>Panel B: 第二阶段</w:t>
            </w:r>
          </w:p>
        </w:tc>
        <w:tc>
          <w:tcPr>
            <w:tcW w:type="dxa" w:w="2882"/>
          </w:tcPr>
          <w:p>
            <w:r>
              <w:t>(1) SubInnov</w:t>
            </w:r>
          </w:p>
        </w:tc>
        <w:tc>
          <w:tcPr>
            <w:tcW w:type="dxa" w:w="2882"/>
          </w:tcPr>
          <w:p>
            <w:r>
              <w:t>(2) StrInnov</w:t>
            </w:r>
          </w:p>
        </w:tc>
      </w:tr>
      <w:tr>
        <w:tc>
          <w:tcPr>
            <w:tcW w:type="dxa" w:w="2882"/>
          </w:tcPr>
          <w:p>
            <w:r>
              <w:t>DigEcon(hat)</w:t>
            </w:r>
          </w:p>
        </w:tc>
        <w:tc>
          <w:tcPr>
            <w:tcW w:type="dxa" w:w="2882"/>
          </w:tcPr>
          <w:p>
            <w:r>
              <w:t>[待填入]***</w:t>
            </w:r>
          </w:p>
        </w:tc>
        <w:tc>
          <w:tcPr>
            <w:tcW w:type="dxa" w:w="2882"/>
          </w:tcPr>
          <w:p>
            <w:r>
              <w:t>[待填入]</w:t>
            </w:r>
          </w:p>
        </w:tc>
      </w:tr>
      <w:tr>
        <w:tc>
          <w:tcPr>
            <w:tcW w:type="dxa" w:w="2882"/>
          </w:tcPr>
          <w:p>
            <w:r/>
          </w:p>
        </w:tc>
        <w:tc>
          <w:tcPr>
            <w:tcW w:type="dxa" w:w="2882"/>
          </w:tcPr>
          <w:p>
            <w:r>
              <w:t>([待填入])</w:t>
            </w:r>
          </w:p>
        </w:tc>
        <w:tc>
          <w:tcPr>
            <w:tcW w:type="dxa" w:w="2882"/>
          </w:tcPr>
          <w:p>
            <w:r>
              <w:t>([待填入])</w:t>
            </w:r>
          </w:p>
        </w:tc>
      </w:tr>
      <w:tr>
        <w:tc>
          <w:tcPr>
            <w:tcW w:type="dxa" w:w="2882"/>
          </w:tcPr>
          <w:p>
            <w:r>
              <w:t>控制变量</w:t>
            </w:r>
          </w:p>
        </w:tc>
        <w:tc>
          <w:tcPr>
            <w:tcW w:type="dxa" w:w="2882"/>
          </w:tcPr>
          <w:p>
            <w:r>
              <w:t>Yes</w:t>
            </w:r>
          </w:p>
        </w:tc>
        <w:tc>
          <w:tcPr>
            <w:tcW w:type="dxa" w:w="2882"/>
          </w:tcPr>
          <w:p>
            <w:r>
              <w:t>Yes</w:t>
            </w:r>
          </w:p>
        </w:tc>
      </w:tr>
      <w:tr>
        <w:tc>
          <w:tcPr>
            <w:tcW w:type="dxa" w:w="2882"/>
          </w:tcPr>
          <w:p>
            <w:r>
              <w:t>企业FE + 年份FE</w:t>
            </w:r>
          </w:p>
        </w:tc>
        <w:tc>
          <w:tcPr>
            <w:tcW w:type="dxa" w:w="2882"/>
          </w:tcPr>
          <w:p>
            <w:r>
              <w:t>Yes</w:t>
            </w:r>
          </w:p>
        </w:tc>
        <w:tc>
          <w:tcPr>
            <w:tcW w:type="dxa" w:w="2882"/>
          </w:tcPr>
          <w:p>
            <w:r>
              <w:t>Yes</w:t>
            </w:r>
          </w:p>
        </w:tc>
      </w:tr>
    </w:tbl>
    <w:p/>
    <w:p>
      <w:pPr>
        <w:ind w:firstLine="420"/>
      </w:pPr>
      <w:r>
        <w:t>第一阶段回归中，工具变量的系数显著为正，F统计量为[待填入]，远大于Stock和Yogo（2005）建议的弱工具变量临界值10。Kleibergen-Paap rk LM统计量在1%的水平上拒绝了不可识别的原假设。第二阶段结果显示，经过内生性修正后，DigEcon对SubInnov的系数为[待填入]，仍在1%水平上显著为正，且系数略大于OLS估计。这一方向上的变化表明OLS估计可能因遗漏变量导致了向下偏误——尽管也需注意IV估计的局部平均处理效应（LATE）特征可能部分贡献了系数差异。DigEcon对StrInnov的系数仍然不显著。</w:t>
      </w:r>
    </w:p>
    <w:p>
      <w:pPr>
        <w:spacing w:before="240" w:after="120"/>
      </w:pPr>
      <w:r>
        <w:rPr>
          <w:rFonts w:ascii="黑体" w:hAnsi="黑体" w:eastAsia="黑体"/>
          <w:b/>
          <w:sz w:val="24"/>
        </w:rPr>
        <w:t>2. "宽带中国"试点政策的准自然实验</w:t>
      </w:r>
    </w:p>
    <w:p>
      <w:pPr>
        <w:ind w:firstLine="420"/>
      </w:pPr>
      <w:r>
        <w:t>表4报告了基于"宽带中国"示范城市政策的双重差分结果。</w:t>
      </w:r>
    </w:p>
    <w:p>
      <w:pPr>
        <w:ind w:firstLine="420"/>
      </w:pPr>
      <w:r>
        <w:rPr>
          <w:b/>
        </w:rPr>
        <w:t>表4 "宽带中国"准自然实验结果</w:t>
      </w:r>
    </w:p>
    <w:tbl>
      <w:tblPr>
        <w:tblStyle w:val="TableGrid"/>
        <w:tblW w:type="auto" w:w="0"/>
        <w:tblLook w:firstColumn="1" w:firstRow="1" w:lastColumn="0" w:lastRow="0" w:noHBand="0" w:noVBand="1" w:val="04A0"/>
      </w:tblPr>
      <w:tblGrid>
        <w:gridCol w:w="2882"/>
        <w:gridCol w:w="2882"/>
        <w:gridCol w:w="2882"/>
      </w:tblGrid>
      <w:tr>
        <w:tc>
          <w:tcPr>
            <w:tcW w:type="dxa" w:w="2882"/>
          </w:tcPr>
          <w:p>
            <w:r/>
          </w:p>
        </w:tc>
        <w:tc>
          <w:tcPr>
            <w:tcW w:type="dxa" w:w="2882"/>
          </w:tcPr>
          <w:p>
            <w:r>
              <w:t>(1) SubInnov</w:t>
            </w:r>
          </w:p>
        </w:tc>
        <w:tc>
          <w:tcPr>
            <w:tcW w:type="dxa" w:w="2882"/>
          </w:tcPr>
          <w:p>
            <w:r>
              <w:t>(2) StrInnov</w:t>
            </w:r>
          </w:p>
        </w:tc>
      </w:tr>
      <w:tr>
        <w:tc>
          <w:tcPr>
            <w:tcW w:type="dxa" w:w="2882"/>
          </w:tcPr>
          <w:p>
            <w:r>
              <w:t>Treat x Post</w:t>
            </w:r>
          </w:p>
        </w:tc>
        <w:tc>
          <w:tcPr>
            <w:tcW w:type="dxa" w:w="2882"/>
          </w:tcPr>
          <w:p>
            <w:r>
              <w:t>[待填入]**</w:t>
            </w:r>
          </w:p>
        </w:tc>
        <w:tc>
          <w:tcPr>
            <w:tcW w:type="dxa" w:w="2882"/>
          </w:tcPr>
          <w:p>
            <w:r>
              <w:t>[待填入]</w:t>
            </w:r>
          </w:p>
        </w:tc>
      </w:tr>
      <w:tr>
        <w:tc>
          <w:tcPr>
            <w:tcW w:type="dxa" w:w="2882"/>
          </w:tcPr>
          <w:p>
            <w:r/>
          </w:p>
        </w:tc>
        <w:tc>
          <w:tcPr>
            <w:tcW w:type="dxa" w:w="2882"/>
          </w:tcPr>
          <w:p>
            <w:r>
              <w:t>([待填入])</w:t>
            </w:r>
          </w:p>
        </w:tc>
        <w:tc>
          <w:tcPr>
            <w:tcW w:type="dxa" w:w="2882"/>
          </w:tcPr>
          <w:p>
            <w:r>
              <w:t>([待填入])</w:t>
            </w:r>
          </w:p>
        </w:tc>
      </w:tr>
      <w:tr>
        <w:tc>
          <w:tcPr>
            <w:tcW w:type="dxa" w:w="2882"/>
          </w:tcPr>
          <w:p>
            <w:r>
              <w:t>控制变量</w:t>
            </w:r>
          </w:p>
        </w:tc>
        <w:tc>
          <w:tcPr>
            <w:tcW w:type="dxa" w:w="2882"/>
          </w:tcPr>
          <w:p>
            <w:r>
              <w:t>Yes</w:t>
            </w:r>
          </w:p>
        </w:tc>
        <w:tc>
          <w:tcPr>
            <w:tcW w:type="dxa" w:w="2882"/>
          </w:tcPr>
          <w:p>
            <w:r>
              <w:t>Yes</w:t>
            </w:r>
          </w:p>
        </w:tc>
      </w:tr>
      <w:tr>
        <w:tc>
          <w:tcPr>
            <w:tcW w:type="dxa" w:w="2882"/>
          </w:tcPr>
          <w:p>
            <w:r>
              <w:t>企业FE + 年份FE</w:t>
            </w:r>
          </w:p>
        </w:tc>
        <w:tc>
          <w:tcPr>
            <w:tcW w:type="dxa" w:w="2882"/>
          </w:tcPr>
          <w:p>
            <w:r>
              <w:t>Yes</w:t>
            </w:r>
          </w:p>
        </w:tc>
        <w:tc>
          <w:tcPr>
            <w:tcW w:type="dxa" w:w="2882"/>
          </w:tcPr>
          <w:p>
            <w:r>
              <w:t>Yes</w:t>
            </w:r>
          </w:p>
        </w:tc>
      </w:tr>
      <w:tr>
        <w:tc>
          <w:tcPr>
            <w:tcW w:type="dxa" w:w="2882"/>
          </w:tcPr>
          <w:p>
            <w:r>
              <w:t>N</w:t>
            </w:r>
          </w:p>
        </w:tc>
        <w:tc>
          <w:tcPr>
            <w:tcW w:type="dxa" w:w="2882"/>
          </w:tcPr>
          <w:p>
            <w:r>
              <w:t>[待填入]</w:t>
            </w:r>
          </w:p>
        </w:tc>
        <w:tc>
          <w:tcPr>
            <w:tcW w:type="dxa" w:w="2882"/>
          </w:tcPr>
          <w:p>
            <w:r>
              <w:t>[待填入]</w:t>
            </w:r>
          </w:p>
        </w:tc>
      </w:tr>
    </w:tbl>
    <w:p/>
    <w:p>
      <w:pPr>
        <w:ind w:firstLine="420"/>
      </w:pPr>
      <w:r>
        <w:t>需要指出的是，"宽带中国"试点城市的选择并非完全随机——经济发展水平较高和数字基础设施较好的城市可能更倾向于获批试点。为缓解这一关切，本文在附录中报告了处理组和控制组在试点前一年主要特征的对比（balance table），结果显示两组在多数可观测特征上不存在显著差异。</w:t>
      </w:r>
    </w:p>
    <w:p>
      <w:pPr>
        <w:ind w:firstLine="420"/>
      </w:pPr>
      <w:r>
        <w:t>DID估计有效性的关键前提是平行趋势假设。图2的event study结果表明，政策实施前各期系数均不显著异于零，平行趋势假设得到满足。政策实施后系数逐年递增，反映了数字经济对创新的渐进式赋能特征。图3的安慰剂检验进一步排除了结果由随机因素驱动的可能。</w:t>
      </w:r>
    </w:p>
    <w:p>
      <w:pPr>
        <w:jc w:val="center"/>
      </w:pPr>
      <w:r>
        <w:rPr>
          <w:i/>
          <w:color w:val="808080"/>
        </w:rPr>
        <w:t>[图2 平行趋势检验]</w:t>
      </w:r>
    </w:p>
    <w:p>
      <w:pPr>
        <w:jc w:val="center"/>
      </w:pPr>
      <w:r>
        <w:rPr>
          <w:i/>
          <w:color w:val="808080"/>
        </w:rPr>
        <w:t>[图3 安慰剂检验]</w:t>
      </w:r>
    </w:p>
    <w:p>
      <w:pPr>
        <w:spacing w:before="240" w:after="120"/>
      </w:pPr>
      <w:r>
        <w:rPr>
          <w:rFonts w:ascii="黑体" w:hAnsi="黑体" w:eastAsia="黑体"/>
          <w:b/>
          <w:sz w:val="24"/>
        </w:rPr>
        <w:t>3. 稳健性检验</w:t>
      </w:r>
    </w:p>
    <w:p>
      <w:pPr>
        <w:ind w:firstLine="420"/>
      </w:pPr>
      <w:r>
        <w:t>表5汇报了多项稳健性检验的结果。</w:t>
      </w:r>
    </w:p>
    <w:p>
      <w:pPr>
        <w:ind w:firstLine="420"/>
      </w:pPr>
      <w:r>
        <w:rPr>
          <w:b/>
        </w:rPr>
        <w:t>表5 稳健性检验汇总（被解释变量：SubInnov）</w:t>
      </w:r>
    </w:p>
    <w:tbl>
      <w:tblPr>
        <w:tblStyle w:val="TableGrid"/>
        <w:tblW w:type="auto" w:w="0"/>
        <w:tblLook w:firstColumn="1" w:firstRow="1" w:lastColumn="0" w:lastRow="0" w:noHBand="0" w:noVBand="1" w:val="04A0"/>
      </w:tblPr>
      <w:tblGrid>
        <w:gridCol w:w="961"/>
        <w:gridCol w:w="961"/>
        <w:gridCol w:w="961"/>
        <w:gridCol w:w="961"/>
        <w:gridCol w:w="961"/>
        <w:gridCol w:w="961"/>
        <w:gridCol w:w="961"/>
        <w:gridCol w:w="961"/>
        <w:gridCol w:w="961"/>
      </w:tblGrid>
      <w:tr>
        <w:tc>
          <w:tcPr>
            <w:tcW w:type="dxa" w:w="961"/>
          </w:tcPr>
          <w:p>
            <w:r/>
          </w:p>
        </w:tc>
        <w:tc>
          <w:tcPr>
            <w:tcW w:type="dxa" w:w="961"/>
          </w:tcPr>
          <w:p>
            <w:r>
              <w:t>(1) 授权量</w:t>
            </w:r>
          </w:p>
        </w:tc>
        <w:tc>
          <w:tcPr>
            <w:tcW w:type="dxa" w:w="961"/>
          </w:tcPr>
          <w:p>
            <w:r>
              <w:t>(2) 赵涛指数</w:t>
            </w:r>
          </w:p>
        </w:tc>
        <w:tc>
          <w:tcPr>
            <w:tcW w:type="dxa" w:w="961"/>
          </w:tcPr>
          <w:p>
            <w:r>
              <w:t>(3) PSM-DID</w:t>
            </w:r>
          </w:p>
        </w:tc>
        <w:tc>
          <w:tcPr>
            <w:tcW w:type="dxa" w:w="961"/>
          </w:tcPr>
          <w:p>
            <w:r>
              <w:t>(4) 滞后一期</w:t>
            </w:r>
          </w:p>
        </w:tc>
        <w:tc>
          <w:tcPr>
            <w:tcW w:type="dxa" w:w="961"/>
          </w:tcPr>
          <w:p>
            <w:r>
              <w:t>(5) 剔除直辖市</w:t>
            </w:r>
          </w:p>
        </w:tc>
        <w:tc>
          <w:tcPr>
            <w:tcW w:type="dxa" w:w="961"/>
          </w:tcPr>
          <w:p>
            <w:r>
              <w:t>(6) 剔除RD</w:t>
            </w:r>
          </w:p>
        </w:tc>
        <w:tc>
          <w:tcPr>
            <w:tcW w:type="dxa" w:w="961"/>
          </w:tcPr>
          <w:p>
            <w:r>
              <w:t>(7) PPML</w:t>
            </w:r>
          </w:p>
        </w:tc>
        <w:tc>
          <w:tcPr>
            <w:tcW w:type="dxa" w:w="961"/>
          </w:tcPr>
          <w:p>
            <w:r>
              <w:t>(8) 专利占比</w:t>
            </w:r>
          </w:p>
        </w:tc>
      </w:tr>
      <w:tr>
        <w:tc>
          <w:tcPr>
            <w:tcW w:type="dxa" w:w="961"/>
          </w:tcPr>
          <w:p>
            <w:r>
              <w:t>核心变量</w:t>
            </w:r>
          </w:p>
        </w:tc>
        <w:tc>
          <w:tcPr>
            <w:tcW w:type="dxa" w:w="961"/>
          </w:tcPr>
          <w:p>
            <w:r>
              <w:t>[待填入]***</w:t>
            </w:r>
          </w:p>
        </w:tc>
        <w:tc>
          <w:tcPr>
            <w:tcW w:type="dxa" w:w="961"/>
          </w:tcPr>
          <w:p>
            <w:r>
              <w:t>[待填入]***</w:t>
            </w:r>
          </w:p>
        </w:tc>
        <w:tc>
          <w:tcPr>
            <w:tcW w:type="dxa" w:w="961"/>
          </w:tcPr>
          <w:p>
            <w:r>
              <w:t>[待填入]**</w:t>
            </w:r>
          </w:p>
        </w:tc>
        <w:tc>
          <w:tcPr>
            <w:tcW w:type="dxa" w:w="961"/>
          </w:tcPr>
          <w:p>
            <w:r>
              <w:t>[待填入]***</w:t>
            </w:r>
          </w:p>
        </w:tc>
        <w:tc>
          <w:tcPr>
            <w:tcW w:type="dxa" w:w="961"/>
          </w:tcPr>
          <w:p>
            <w:r>
              <w:t>[待填入]***</w:t>
            </w:r>
          </w:p>
        </w:tc>
        <w:tc>
          <w:tcPr>
            <w:tcW w:type="dxa" w:w="961"/>
          </w:tcPr>
          <w:p>
            <w:r>
              <w:t>[待填入]***</w:t>
            </w:r>
          </w:p>
        </w:tc>
        <w:tc>
          <w:tcPr>
            <w:tcW w:type="dxa" w:w="961"/>
          </w:tcPr>
          <w:p>
            <w:r>
              <w:t>[待填入]***</w:t>
            </w:r>
          </w:p>
        </w:tc>
        <w:tc>
          <w:tcPr>
            <w:tcW w:type="dxa" w:w="961"/>
          </w:tcPr>
          <w:p>
            <w:r>
              <w:t>[待填入]**</w:t>
            </w:r>
          </w:p>
        </w:tc>
      </w:tr>
    </w:tbl>
    <w:p/>
    <w:p>
      <w:pPr>
        <w:ind w:firstLine="420"/>
      </w:pPr>
      <w:r>
        <w:t>列（1）以发明专利授权量替换申请量；列（2）以赵涛等（2020）数字经济综合指数替换北大指数；列（3）采用PSM-DID方法；列（4）将核心解释变量滞后一期；列（5）剔除直辖市样本；列（6）剔除RD控制变量以排除"坏控制"干扰；列（7）采用泊松伪极大似然估计（PPML）处理零膨胀和非线性问题；列（8）以"发明专利占总专利申请量的比重"作为创新质量的替代指标。所有检验结果均与基准回归保持一致。</w:t>
      </w:r>
    </w:p>
    <w:p>
      <w:pPr>
        <w:spacing w:before="360" w:after="160"/>
      </w:pPr>
      <w:r>
        <w:rPr>
          <w:rFonts w:ascii="黑体" w:hAnsi="黑体" w:eastAsia="黑体"/>
          <w:b/>
          <w:sz w:val="28"/>
        </w:rPr>
        <w:t>（三）基准结果小结</w:t>
      </w:r>
    </w:p>
    <w:p>
      <w:pPr>
        <w:ind w:firstLine="420"/>
      </w:pPr>
      <w:r>
        <w:t>综合基准回归、工具变量回归、准自然实验和八项稳健性检验的结果，本文的核心发现是稳健的：数字经济发展显著促进了企业的实质性创新，但对策略性创新的影响不显著。假设H1和H1a得到支持。接下来，本文将进一步探究这一"质量选择性"效应背后的传导机制。</w:t>
      </w:r>
    </w:p>
    <w:p/>
    <w:p>
      <w:pPr>
        <w:spacing w:before="480" w:after="240"/>
        <w:jc w:val="center"/>
      </w:pPr>
      <w:r>
        <w:rPr>
          <w:rFonts w:ascii="黑体" w:hAnsi="黑体" w:eastAsia="黑体"/>
          <w:b/>
          <w:sz w:val="30"/>
        </w:rPr>
        <w:t>六、机制检验</w:t>
      </w:r>
    </w:p>
    <w:p>
      <w:pPr>
        <w:ind w:firstLine="420"/>
      </w:pPr>
      <w:r>
        <w:t>前文的实证分析已经证实，数字经济显著促进了企业的实质性创新。那么，这一效应通过何种渠道得以实现？本文基于理论分析部分提出的两条传导路径——知识溢出效应和资源配置效率——分别进行机制检验。遵循江艇（2022）关于因果推断中机制分析的方法论建议，本文重点检验数字经济对机制变量的因果效应，并结合理论逻辑论证机制变量对创新质量的作用。</w:t>
      </w:r>
    </w:p>
    <w:p>
      <w:pPr>
        <w:spacing w:before="360" w:after="160"/>
      </w:pPr>
      <w:r>
        <w:rPr>
          <w:rFonts w:ascii="黑体" w:hAnsi="黑体" w:eastAsia="黑体"/>
          <w:b/>
          <w:sz w:val="28"/>
        </w:rPr>
        <w:t>（一）知识溢出渠道</w:t>
      </w:r>
    </w:p>
    <w:p>
      <w:pPr>
        <w:ind w:firstLine="420"/>
      </w:pPr>
      <w:r>
        <w:t>假设H2认为，数字经济通过促进知识溢出来提升企业实质性创新。本文使用两个代理变量来捕捉知识溢出的强度：一是城市技术市场成交额的自然对数（反映技术知识交易和流动的活跃程度），二是城市产学研合作项目数量（反映知识在产业界和学术界之间的溢出强度）。</w:t>
      </w:r>
    </w:p>
    <w:p>
      <w:pPr>
        <w:jc w:val="center"/>
      </w:pPr>
      <w:r>
        <w:rPr>
          <w:i/>
          <w:color w:val="808080"/>
        </w:rPr>
        <w:t>[表6 机制检验：知识溢出渠道]</w:t>
      </w:r>
    </w:p>
    <w:p>
      <w:pPr>
        <w:ind w:firstLine="420"/>
      </w:pPr>
      <w:r>
        <w:t>表6报告了以知识溢出代理变量为被解释变量的回归结果。列（1）的结果显示，数字经济发展水平对城市技术市场成交额的系数为[待填入]，在1%的水平上显著为正。这表明，数字经济的发展显著提升了城市技术市场的活跃度，促进了技术知识在市场中的交易和流通。从经济意义来看，数字普惠金融指数每提升一个标准差，城市技术市场成交额平均增长约[待填入]%。</w:t>
      </w:r>
    </w:p>
    <w:p>
      <w:pPr>
        <w:ind w:firstLine="420"/>
      </w:pPr>
      <w:r>
        <w:t>列（2）的结果显示，数字经济对产学研合作数量的系数同样显著为正。这一发现表明，数字基础设施的完善和数字平台的普及，有效降低了知识在企业和高校科研机构之间流动的壁垒，促进了产学研协同创新。数字化的沟通工具、在线协作平台和技术交易平台使得隐性知识的显性化传播更加便利，远距离的知识溢出成为可能。</w:t>
      </w:r>
    </w:p>
    <w:p>
      <w:pPr>
        <w:ind w:firstLine="420"/>
      </w:pPr>
      <w:r>
        <w:t>结合理论分析部分的论证，知识溢出强度的提升有助于企业获取更广泛、更深入的外部技术知识，而知识多样性的增加是进行知识重组和实现突破性创新的关键前提（Fleming，2001）。因此，数字经济通过扩大知识溢出的范围和强度，为企业实质性创新提供了更丰富的知识原料和更多的创新灵感。假设H2得到支持。</w:t>
      </w:r>
    </w:p>
    <w:p>
      <w:pPr>
        <w:spacing w:before="360" w:after="160"/>
      </w:pPr>
      <w:r>
        <w:rPr>
          <w:rFonts w:ascii="黑体" w:hAnsi="黑体" w:eastAsia="黑体"/>
          <w:b/>
          <w:sz w:val="28"/>
        </w:rPr>
        <w:t>（二）资源配置效率渠道</w:t>
      </w:r>
    </w:p>
    <w:p>
      <w:pPr>
        <w:ind w:firstLine="420"/>
      </w:pPr>
      <w:r>
        <w:t>在知识溢出渠道之外，本文进一步检验资源配置效率渠道（假设H3）。具体从两个角度切入：一是以企业全要素生产率（TFP，LP方法估计）衡量企业整体的资源利用效率；二是以融资约束指数（SA指数，取绝对值）衡量企业面临的外部融资困难程度。</w:t>
      </w:r>
    </w:p>
    <w:p>
      <w:pPr>
        <w:jc w:val="center"/>
      </w:pPr>
      <w:r>
        <w:rPr>
          <w:i/>
          <w:color w:val="808080"/>
        </w:rPr>
        <w:t>[表7 机制检验：资源配置效率渠道]</w:t>
      </w:r>
    </w:p>
    <w:p>
      <w:pPr>
        <w:ind w:firstLine="420"/>
      </w:pPr>
      <w:r>
        <w:t>表7列（1）的结果显示，数字经济发展水平对企业TFP的系数为[待填入]，在1%的水平上显著为正。这表明，数字经济的发展显著提升了企业的全要素生产率，意味着企业在资源利用和要素配置方面的效率得到了改善。数字技术通过优化企业内部的生产流程管理、降低上下游交易成本、提升劳动力匹配效率等渠道，提高了单位要素投入的产出水平。</w:t>
      </w:r>
    </w:p>
    <w:p>
      <w:pPr>
        <w:ind w:firstLine="420"/>
      </w:pPr>
      <w:r>
        <w:t>表7列（2）的结果显示，数字经济对SA融资约束指数的系数为[待填入]，显著为负，表明数字经济的发展有效缓解了企业面临的融资约束。这与谢绚丽等（2018）和唐松等（2020）的发现一致。数字金融通过大数据征信和智能风控技术降低了银企之间的信息不对称，拓宽了企业特别是中小企业的融资渠道，使得更多企业能够获得实施实质性创新项目所需的资金支持。</w:t>
      </w:r>
    </w:p>
    <w:p>
      <w:pPr>
        <w:ind w:firstLine="420"/>
      </w:pPr>
      <w:r>
        <w:t>从理论上看，资源配置效率的提升意味着创新资源能够更精准地流向高价值、高回报的创新项目。当企业面临的融资约束缓解、整体资源利用效率提高时，企业有更大的能力和意愿将研发投入从低风险的渐进性创新（如实用新型专利）转向高风险但高回报的突破性创新（如发明专利）。因此，资源配置效率的提升选择性地有利于实质性创新。假设H3得到支持。</w:t>
      </w:r>
    </w:p>
    <w:p>
      <w:pPr>
        <w:spacing w:before="360" w:after="160"/>
      </w:pPr>
      <w:r>
        <w:rPr>
          <w:rFonts w:ascii="黑体" w:hAnsi="黑体" w:eastAsia="黑体"/>
          <w:b/>
          <w:sz w:val="28"/>
        </w:rPr>
        <w:t>（三）机制小结</w:t>
      </w:r>
    </w:p>
    <w:p>
      <w:pPr>
        <w:ind w:firstLine="420"/>
      </w:pPr>
      <w:r>
        <w:t>综合以上分析，知识溢出效应和资源配置效率提升是数字经济促进企业实质性创新的两条重要传导渠道。前者解决了"创新知识从哪里来"的问题——数字经济降低了知识获取和传播的成本，扩大了企业可及的知识边界；后者解决了"创新资源往哪里去"的问题——数字经济通过缓解信息不对称和提升配置效率，引导资源更精准地流向高质量创新活动。两条渠道相互补充、协同作用，共同构成了数字经济提升企业创新质量的内在逻辑。在明确了"通过何种机制"促进创新质量之后，一个自然的追问是：这一效应是否在不同类型的企业和地区之间存在结构性差异？下一部分将对此展开分析。</w:t>
      </w:r>
    </w:p>
    <w:p/>
    <w:p>
      <w:pPr>
        <w:spacing w:before="480" w:after="240"/>
        <w:jc w:val="center"/>
      </w:pPr>
      <w:r>
        <w:rPr>
          <w:rFonts w:ascii="黑体" w:hAnsi="黑体" w:eastAsia="黑体"/>
          <w:b/>
          <w:sz w:val="30"/>
        </w:rPr>
        <w:t>七、异质性分析</w:t>
      </w:r>
    </w:p>
    <w:p>
      <w:pPr>
        <w:ind w:firstLine="420"/>
      </w:pPr>
      <w:r>
        <w:t>前文的分析表明，数字经济显著促进了企业实质性创新，但这一效应是否因企业和地区特征的不同而存在差异？本文进一步从产权性质、企业规模、行业属性和区域发展水平四个维度进行异质性分析。在方法上，本文对各维度进行分组回归，并采用费舍尔组合检验（Fisher's permutation test）检验组间系数差异的统计显著性。</w:t>
      </w:r>
    </w:p>
    <w:p>
      <w:pPr>
        <w:jc w:val="center"/>
      </w:pPr>
      <w:r>
        <w:rPr>
          <w:i/>
          <w:color w:val="808080"/>
        </w:rPr>
        <w:t>[表8 异质性分析]</w:t>
      </w:r>
    </w:p>
    <w:p>
      <w:pPr>
        <w:spacing w:before="360" w:after="160"/>
      </w:pPr>
      <w:r>
        <w:rPr>
          <w:rFonts w:ascii="黑体" w:hAnsi="黑体" w:eastAsia="黑体"/>
          <w:b/>
          <w:sz w:val="28"/>
        </w:rPr>
        <w:t>（一）产权性质异质性</w:t>
      </w:r>
    </w:p>
    <w:p>
      <w:pPr>
        <w:ind w:firstLine="420"/>
      </w:pPr>
      <w:r>
        <w:t>本文将样本按照实际控制人性质分为国有企业组和民营企业组。表8列（1）—（2）的结果显示，数字经济对实质性创新的促进效应在民营企业中更为显著（系数为[待填入]，1%显著），而在国有企业中系数较小且仅在10%水平上显著（系数为[待填入]）。组间差异检验的p值为[待填入]，表明二者的差异在统计上显著。</w:t>
      </w:r>
    </w:p>
    <w:p>
      <w:pPr>
        <w:ind w:firstLine="420"/>
      </w:pPr>
      <w:r>
        <w:t>对此的一个合理解释是：民营企业的经营活动更加依赖市场化的资源配置机制，在信息获取、融资渠道和要素配置方面面临更大的约束，因而对数字经济带来的信息红利和金融普惠更加敏感。相较之下，国有企业在获取政策资源、金融支持和信息渠道等方面拥有先天优势，数字经济对其的边际改善空间相对有限。</w:t>
      </w:r>
    </w:p>
    <w:p>
      <w:pPr>
        <w:spacing w:before="360" w:after="160"/>
      </w:pPr>
      <w:r>
        <w:rPr>
          <w:rFonts w:ascii="黑体" w:hAnsi="黑体" w:eastAsia="黑体"/>
          <w:b/>
          <w:sz w:val="28"/>
        </w:rPr>
        <w:t>（二）企业规模异质性</w:t>
      </w:r>
    </w:p>
    <w:p>
      <w:pPr>
        <w:ind w:firstLine="420"/>
      </w:pPr>
      <w:r>
        <w:t>本文以企业总资产中位数为标准将样本分为大型企业组和中小企业组。表8列（3）—（4）的结果显示，数字经济对中小企业实质性创新的促进效应（系数为[待填入]，1%显著）明显大于对大型企业的效应（系数为[待填入]，5%显著），且组间差异在统计上显著。</w:t>
      </w:r>
    </w:p>
    <w:p>
      <w:pPr>
        <w:ind w:firstLine="420"/>
      </w:pPr>
      <w:r>
        <w:t>该发现支持了数字经济"普惠创新"的假说。中小企业长期面临信息不对称更严重、融资约束更紧、知识获取渠道更有限等困境。数字经济的发展通过降低信息搜寻成本和拓宽融资渠道，有效弥补了中小企业在创新资源方面的先天劣势，释放了其被抑制的创新潜力。而大型企业本身已拥有较完善的研发体系和丰富的创新资源，数字化对其创新能力的边际贡献相对较小。</w:t>
      </w:r>
    </w:p>
    <w:p>
      <w:pPr>
        <w:spacing w:before="360" w:after="160"/>
      </w:pPr>
      <w:r>
        <w:rPr>
          <w:rFonts w:ascii="黑体" w:hAnsi="黑体" w:eastAsia="黑体"/>
          <w:b/>
          <w:sz w:val="28"/>
        </w:rPr>
        <w:t>（三）行业属性异质性</w:t>
      </w:r>
    </w:p>
    <w:p>
      <w:pPr>
        <w:ind w:firstLine="420"/>
      </w:pPr>
      <w:r>
        <w:t>本文参照国家统计局《高技术产业（制造业）分类》标准，将样本分为高科技行业组和传统行业组。表8列（5）—（6）的结果显示，数字经济对高科技行业企业实质性创新的促进效应（系数为[待填入]，1%显著）显著大于传统行业（系数为[待填入]，10%显著）。</w:t>
      </w:r>
    </w:p>
    <w:p>
      <w:pPr>
        <w:ind w:firstLine="420"/>
      </w:pPr>
      <w:r>
        <w:t>这一差异根植于数字技术与不同行业创新活动之间互补性的强弱。高科技行业的创新活动更加依赖前沿知识获取、跨学科技术融合和快速迭代试错，这些恰恰是数字经济赋能的优势领域。数字化工具在加速研发周期、促进协作创新和优化实验设计等方面能够对高科技行业的创新过程产生直接而深入的影响。传统行业的创新模式更加依赖工艺改进和经验积累，与数字技术的互补性相对较弱，因而从数字经济中获得的创新提升较为有限。</w:t>
      </w:r>
    </w:p>
    <w:p>
      <w:pPr>
        <w:spacing w:before="360" w:after="160"/>
      </w:pPr>
      <w:r>
        <w:rPr>
          <w:rFonts w:ascii="黑体" w:hAnsi="黑体" w:eastAsia="黑体"/>
          <w:b/>
          <w:sz w:val="28"/>
        </w:rPr>
        <w:t>（四）区域发展水平异质性</w:t>
      </w:r>
    </w:p>
    <w:p>
      <w:pPr>
        <w:ind w:firstLine="420"/>
      </w:pPr>
      <w:r>
        <w:t>本文将样本按照企业所在地区分为东部地区组和中西部地区组。表8列（7）—（8）的结果显示，数字经济对中西部地区企业实质性创新的促进效应（系数为[待填入]，1%显著）大于东部地区（系数为[待填入]，1%显著），但组间差异的统计显著性相对温和（p值为[待填入]）。</w:t>
      </w:r>
    </w:p>
    <w:p>
      <w:pPr>
        <w:ind w:firstLine="420"/>
      </w:pPr>
      <w:r>
        <w:t>这一发现的政策意涵尤为突出。中西部地区长期面临创新资源匮乏、知识溢出不足和信息获取困难等瓶颈。数字经济的发展有效突破了地理限制，使中西部地区的企业也能够以较低成本获取全国性的知识资源和金融服务，体现出明显的"后发优势"和"数字红利"。这一结果意味着，数字经济的发展有助于缩小区域间的创新差距，促进创新的均衡发展。</w:t>
      </w:r>
    </w:p>
    <w:p>
      <w:pPr>
        <w:spacing w:before="360" w:after="160"/>
      </w:pPr>
      <w:r>
        <w:rPr>
          <w:rFonts w:ascii="黑体" w:hAnsi="黑体" w:eastAsia="黑体"/>
          <w:b/>
          <w:sz w:val="28"/>
        </w:rPr>
        <w:t>（五）异质性分析小结</w:t>
      </w:r>
    </w:p>
    <w:p>
      <w:pPr>
        <w:ind w:firstLine="420"/>
      </w:pPr>
      <w:r>
        <w:t>异质性分析的结果表明，数字经济对企业实质性创新的促进效应在民营企业、中小企业、高科技行业和中西部地区更为显著。这些发现为假设H4a—H4d提供了经验支持，同时揭示了数字经济在促进创新资源公平获取和缩小创新主体间差距方面的积极作用——数字经济不仅选择性地"提质"，还表现出显著的"普惠"特征。</w:t>
      </w:r>
    </w:p>
    <w:p/>
    <w:p>
      <w:pPr>
        <w:spacing w:before="480" w:after="240"/>
        <w:jc w:val="center"/>
      </w:pPr>
      <w:r>
        <w:rPr>
          <w:rFonts w:ascii="黑体" w:hAnsi="黑体" w:eastAsia="黑体"/>
          <w:b/>
          <w:sz w:val="30"/>
        </w:rPr>
        <w:t>八、结论与政策启示</w:t>
      </w:r>
    </w:p>
    <w:p>
      <w:pPr>
        <w:spacing w:before="360" w:after="160"/>
      </w:pPr>
      <w:r>
        <w:rPr>
          <w:rFonts w:ascii="黑体" w:hAnsi="黑体" w:eastAsia="黑体"/>
          <w:b/>
          <w:sz w:val="28"/>
        </w:rPr>
        <w:t>（一）研究结论</w:t>
      </w:r>
    </w:p>
    <w:p>
      <w:pPr>
        <w:ind w:firstLine="420"/>
      </w:pPr>
      <w:r>
        <w:t>数字经济的快速发展究竟是促进了企业真正的技术突破，还是仅仅刺激了低质量的专利堆积？本文基于2011—2022年中国A股上市公司面板数据，从创新"质量"维度系统考察了数字经济发展对企业创新的影响。通过区分实质性创新（发明专利）与策略性创新（实用新型专利），并综合运用双向固定效应模型、工具变量法和"宽带中国"试点政策的准自然实验进行因果识别，本文获得了以下主要发现：</w:t>
      </w:r>
    </w:p>
    <w:p>
      <w:pPr>
        <w:ind w:firstLine="420"/>
      </w:pPr>
      <w:r>
        <w:t>第一，数字经济发展显著促进了企业的实质性创新，但对策略性创新的影响并不显著。这一核心发现在工具变量回归、双重差分估计以及多项稳健性检验下均保持一致，表明数字经济对企业创新的驱动作用体现在"提质"而非仅仅"增量"上。</w:t>
      </w:r>
    </w:p>
    <w:p>
      <w:pPr>
        <w:ind w:firstLine="420"/>
      </w:pPr>
      <w:r>
        <w:t>第二，机制检验揭示了上述效应的内在逻辑。数字经济从"知识供给"和"资源引导"两个维度赋能实质性创新：一方面，它通过技术市场活跃度的提升和产学研合作的深化拓展了企业的知识边界；另一方面，它通过提升全要素生产率和缓解融资约束，将创新资源更精准地导向高价值的突破性研发活动。</w:t>
      </w:r>
    </w:p>
    <w:p>
      <w:pPr>
        <w:ind w:firstLine="420"/>
      </w:pPr>
      <w:r>
        <w:t>第三，异质性分析发现，数字经济对实质性创新的促进效应在民营企业、中小企业、高科技行业和中西部地区更为显著。这些发现揭示了数字经济在促进创新资源公平获取和缩小创新主体间差距方面的积极作用，也意味着数字经济具有"普惠创新"和"均衡创新"的潜力。</w:t>
      </w:r>
    </w:p>
    <w:p>
      <w:pPr>
        <w:ind w:firstLine="420"/>
      </w:pPr>
      <w:r>
        <w:t>本文的核心洞察在于：数字经济对企业创新的影响具有鲜明的"质量选择性"——它选择性地降低了实质性创新的门槛，而非无差别地刺激所有类型的创新活动。这一发现超越了现有文献对数字经济创新效应的笼统判断，提供了一个更加精细和有政策指导意义的分析视角。</w:t>
      </w:r>
    </w:p>
    <w:p>
      <w:pPr>
        <w:spacing w:before="360" w:after="160"/>
      </w:pPr>
      <w:r>
        <w:rPr>
          <w:rFonts w:ascii="黑体" w:hAnsi="黑体" w:eastAsia="黑体"/>
          <w:b/>
          <w:sz w:val="28"/>
        </w:rPr>
        <w:t>（二）政策启示</w:t>
      </w:r>
    </w:p>
    <w:p>
      <w:pPr>
        <w:ind w:firstLine="420"/>
      </w:pPr>
      <w:r>
        <w:t>基于上述研究结论，本文提出以下政策建议：</w:t>
      </w:r>
    </w:p>
    <w:p>
      <w:pPr>
        <w:ind w:firstLine="420"/>
      </w:pPr>
      <w:r>
        <w:t>第一，在数字经济发展战略中应更加注重创新质量导向。政府在评价数字经济的创新带动效果时，不应仅关注专利数量的增长，更应建立以发明专利、PCT国际专利等高质量指标为核心的评价体系，引导企业将创新资源配置到具有真正技术突破潜力的方向。</w:t>
      </w:r>
    </w:p>
    <w:p>
      <w:pPr>
        <w:ind w:firstLine="420"/>
      </w:pPr>
      <w:r>
        <w:t>第二，应加大对民营企业和中小企业的数字化赋能力度。鉴于数字经济对这类企业的创新提升效果更为显著，政策应着力降低中小企业的数字化门槛，通过产业互联网平台建设、数字化公共服务供给和数字金融产品创新等举措，充分释放数字经济的"普惠创新"红利。</w:t>
      </w:r>
    </w:p>
    <w:p>
      <w:pPr>
        <w:ind w:firstLine="420"/>
      </w:pPr>
      <w:r>
        <w:t>第三，应重视数字经济在缩小区域创新差距方面的战略价值。政策应加大中西部地区数字基础设施投资，推动数字技术与当地产业创新的深度融合，利用数字经济突破地理限制的特征，帮助中西部地区企业克服知识溢出不足和创新资源匮乏的困境。</w:t>
      </w:r>
    </w:p>
    <w:p>
      <w:pPr>
        <w:ind w:firstLine="420"/>
      </w:pPr>
      <w:r>
        <w:t>第四，应完善支撑知识溢出和资源优化配置的数字化制度环境。包括推动技术市场的数字化转型、完善产学研数字协作平台、优化数字金融的监管框架等，为数字经济的创新赋能提供更好的制度保障。</w:t>
      </w:r>
    </w:p>
    <w:p>
      <w:pPr>
        <w:spacing w:before="360" w:after="160"/>
      </w:pPr>
      <w:r>
        <w:rPr>
          <w:rFonts w:ascii="黑体" w:hAnsi="黑体" w:eastAsia="黑体"/>
          <w:b/>
          <w:sz w:val="28"/>
        </w:rPr>
        <w:t>（三）研究展望</w:t>
      </w:r>
    </w:p>
    <w:p>
      <w:pPr>
        <w:ind w:firstLine="420"/>
      </w:pPr>
      <w:r>
        <w:t>本文仍存在一定局限。第一，专利数据无法完全捕捉所有创新形式（如商业模式创新），未来可引入更多元的创新指标。第二，数字普惠金融指数更多反映数字金融维度，未能完全覆盖数字经济的全部内涵，未来可探索更综合的度量方式。第三，样本仅覆盖上市公司，非上市中小企业的创新模式有待进一步研究。</w:t>
      </w:r>
    </w:p>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after="120" w:before="0"/>
    </w:pPr>
    <w:rPr>
      <w:rFonts w:ascii="宋体" w:hAnsi="宋体" w:eastAsia="宋体"/>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