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DF8A6" w14:textId="1C4F41DD" w:rsidR="007D553D" w:rsidRDefault="00F56D30" w:rsidP="007D553D">
      <w:pPr>
        <w:suppressAutoHyphens/>
        <w:spacing w:after="0" w:line="240" w:lineRule="auto"/>
        <w:jc w:val="center"/>
        <w:rPr>
          <w:b/>
          <w:bCs/>
          <w:color w:val="000000"/>
        </w:rPr>
      </w:pPr>
      <w:r w:rsidRPr="00F56D30">
        <w:rPr>
          <w:b/>
          <w:bCs/>
          <w:color w:val="000000"/>
        </w:rPr>
        <w:t>Project Two: Security Policy Presentation</w:t>
      </w:r>
      <w:r w:rsidR="00400810" w:rsidRPr="00400810">
        <w:t xml:space="preserve"> </w:t>
      </w:r>
      <w:r w:rsidR="00400810" w:rsidRPr="00400810">
        <w:rPr>
          <w:b/>
          <w:bCs/>
        </w:rPr>
        <w:t>Script</w:t>
      </w:r>
    </w:p>
    <w:p w14:paraId="194B7BC4" w14:textId="77777777" w:rsidR="00400810" w:rsidRPr="00C376E1" w:rsidRDefault="00400810" w:rsidP="00400810">
      <w:pPr>
        <w:spacing w:after="0" w:line="240" w:lineRule="auto"/>
        <w:rPr>
          <w:rFonts w:cs="Times New Roman"/>
          <w:szCs w:val="24"/>
        </w:rPr>
      </w:pPr>
      <w:r w:rsidRPr="00C376E1">
        <w:rPr>
          <w:rFonts w:cs="Times New Roman"/>
          <w:szCs w:val="24"/>
        </w:rPr>
        <w:t>Duane Wegner</w:t>
      </w:r>
    </w:p>
    <w:p w14:paraId="7FD7CD5D" w14:textId="77777777" w:rsidR="00400810" w:rsidRPr="00C376E1" w:rsidRDefault="00400810" w:rsidP="00400810">
      <w:pPr>
        <w:spacing w:after="0" w:line="240" w:lineRule="auto"/>
        <w:rPr>
          <w:rFonts w:cs="Times New Roman"/>
          <w:szCs w:val="24"/>
        </w:rPr>
      </w:pPr>
      <w:r w:rsidRPr="00C376E1">
        <w:rPr>
          <w:rFonts w:cs="Times New Roman"/>
          <w:szCs w:val="24"/>
        </w:rPr>
        <w:t>Southern New Hampshire University</w:t>
      </w:r>
    </w:p>
    <w:p w14:paraId="14EE6DB6" w14:textId="77777777" w:rsidR="00400810" w:rsidRPr="00C376E1" w:rsidRDefault="00400810" w:rsidP="00400810">
      <w:pPr>
        <w:spacing w:after="0" w:line="240" w:lineRule="auto"/>
      </w:pPr>
      <w:r w:rsidRPr="00C376E1">
        <w:t>CS-405 Secure Coding</w:t>
      </w:r>
    </w:p>
    <w:p w14:paraId="19F39B96" w14:textId="77777777" w:rsidR="00400810" w:rsidRPr="00C376E1" w:rsidRDefault="00400810" w:rsidP="00400810">
      <w:pPr>
        <w:spacing w:after="0" w:line="240" w:lineRule="auto"/>
        <w:rPr>
          <w:rFonts w:cs="Times New Roman"/>
          <w:color w:val="202122"/>
          <w:spacing w:val="3"/>
          <w:szCs w:val="24"/>
          <w:shd w:val="clear" w:color="auto" w:fill="FFFFFF"/>
        </w:rPr>
      </w:pPr>
      <w:r w:rsidRPr="00C376E1">
        <w:rPr>
          <w:rFonts w:cs="Times New Roman"/>
          <w:color w:val="202122"/>
          <w:spacing w:val="3"/>
          <w:szCs w:val="24"/>
          <w:shd w:val="clear" w:color="auto" w:fill="FFFFFF"/>
        </w:rPr>
        <w:t>Alan Spencer, Adjunct Instructor (M.S)</w:t>
      </w:r>
    </w:p>
    <w:p w14:paraId="7B66294D" w14:textId="73CD4EA3" w:rsidR="00400810" w:rsidRDefault="00283829" w:rsidP="00400810">
      <w:pPr>
        <w:suppressAutoHyphens/>
        <w:spacing w:after="0" w:line="240" w:lineRule="auto"/>
        <w:rPr>
          <w:rFonts w:cs="Times New Roman"/>
          <w:szCs w:val="24"/>
        </w:rPr>
      </w:pPr>
      <w:r>
        <w:rPr>
          <w:rFonts w:cs="Times New Roman"/>
          <w:szCs w:val="24"/>
        </w:rPr>
        <w:t>August 11</w:t>
      </w:r>
      <w:r w:rsidR="00400810" w:rsidRPr="00C376E1">
        <w:rPr>
          <w:rFonts w:cs="Times New Roman"/>
          <w:szCs w:val="24"/>
        </w:rPr>
        <w:t>, 2025</w:t>
      </w:r>
    </w:p>
    <w:p w14:paraId="4230C8A1" w14:textId="77777777" w:rsidR="00E054B7" w:rsidRDefault="00E054B7" w:rsidP="00400810">
      <w:pPr>
        <w:suppressAutoHyphens/>
        <w:spacing w:after="0" w:line="240" w:lineRule="auto"/>
        <w:rPr>
          <w:rFonts w:cs="Times New Roman"/>
          <w:szCs w:val="24"/>
        </w:rPr>
      </w:pPr>
    </w:p>
    <w:p w14:paraId="66C80B1D" w14:textId="331CBF54" w:rsidR="00E054B7" w:rsidRPr="00C376E1" w:rsidRDefault="00E33CBE" w:rsidP="00400810">
      <w:pPr>
        <w:suppressAutoHyphens/>
        <w:spacing w:after="0" w:line="240" w:lineRule="auto"/>
        <w:rPr>
          <w:color w:val="000000"/>
        </w:rPr>
      </w:pPr>
      <w:r>
        <w:rPr>
          <w:rFonts w:cs="Times New Roman"/>
          <w:szCs w:val="24"/>
        </w:rPr>
        <w:t xml:space="preserve">YouTube </w:t>
      </w:r>
      <w:r w:rsidR="00E054B7">
        <w:rPr>
          <w:rFonts w:cs="Times New Roman"/>
          <w:szCs w:val="24"/>
        </w:rPr>
        <w:t>Link</w:t>
      </w:r>
      <w:r>
        <w:rPr>
          <w:rFonts w:cs="Times New Roman"/>
          <w:szCs w:val="24"/>
        </w:rPr>
        <w:t xml:space="preserve"> to Video</w:t>
      </w:r>
      <w:r w:rsidR="00E054B7">
        <w:rPr>
          <w:rFonts w:cs="Times New Roman"/>
          <w:szCs w:val="24"/>
        </w:rPr>
        <w:t xml:space="preserve">: </w:t>
      </w:r>
      <w:r w:rsidR="00FC7B64" w:rsidRPr="00FC7B64">
        <w:rPr>
          <w:rFonts w:cs="Times New Roman"/>
          <w:szCs w:val="24"/>
        </w:rPr>
        <w:t>https://youtu.be/iTDZzXTp0nc</w:t>
      </w:r>
    </w:p>
    <w:p w14:paraId="4634E23F" w14:textId="77777777" w:rsidR="00F56D30" w:rsidRPr="00F56D30" w:rsidRDefault="00F56D30" w:rsidP="007D553D">
      <w:pPr>
        <w:suppressAutoHyphens/>
        <w:spacing w:after="0" w:line="240" w:lineRule="auto"/>
        <w:jc w:val="center"/>
        <w:rPr>
          <w:b/>
          <w:bCs/>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A90EAD" w:rsidRPr="007D553D" w14:paraId="3DE8E488" w14:textId="77777777" w:rsidTr="007D553D">
        <w:trPr>
          <w:trHeight w:val="1296"/>
        </w:trPr>
        <w:tc>
          <w:tcPr>
            <w:tcW w:w="2115" w:type="dxa"/>
            <w:vAlign w:val="center"/>
          </w:tcPr>
          <w:p w14:paraId="6EC36803" w14:textId="77F43645" w:rsidR="00A90EAD" w:rsidRDefault="00A90EAD" w:rsidP="00A90EAD">
            <w:pPr>
              <w:suppressAutoHyphens/>
              <w:jc w:val="center"/>
              <w:rPr>
                <w:b/>
              </w:rPr>
            </w:pPr>
            <w:r>
              <w:rPr>
                <w:b/>
              </w:rPr>
              <w:t>1</w:t>
            </w:r>
          </w:p>
        </w:tc>
        <w:tc>
          <w:tcPr>
            <w:tcW w:w="7455" w:type="dxa"/>
          </w:tcPr>
          <w:p w14:paraId="597A24F6" w14:textId="5D672213" w:rsidR="00A90EAD" w:rsidRDefault="00F03C9A" w:rsidP="00A90EAD">
            <w:pPr>
              <w:suppressAutoHyphens/>
            </w:pPr>
            <w:r>
              <w:t>Hello everyone,</w:t>
            </w:r>
            <w:r w:rsidR="000705DD">
              <w:t xml:space="preserve"> my name is Duane Wegner </w:t>
            </w:r>
            <w:r w:rsidR="003E3D6E">
              <w:t xml:space="preserve">Welcome to a presentation on </w:t>
            </w:r>
            <w:r w:rsidR="002F58E6">
              <w:t xml:space="preserve">Green Pace’s </w:t>
            </w:r>
            <w:r w:rsidR="003E3D6E">
              <w:t>security policy</w:t>
            </w:r>
            <w:r w:rsidR="002F58E6">
              <w:t>.</w:t>
            </w:r>
          </w:p>
        </w:tc>
      </w:tr>
      <w:tr w:rsidR="00A90EAD" w:rsidRPr="007D553D" w14:paraId="1C716D72" w14:textId="77777777" w:rsidTr="007D553D">
        <w:trPr>
          <w:trHeight w:val="1296"/>
        </w:trPr>
        <w:tc>
          <w:tcPr>
            <w:tcW w:w="2115" w:type="dxa"/>
            <w:vAlign w:val="center"/>
          </w:tcPr>
          <w:p w14:paraId="7202B4C6" w14:textId="76980EA1" w:rsidR="00A90EAD" w:rsidRPr="007D553D" w:rsidRDefault="00A90EAD" w:rsidP="00A90EAD">
            <w:pPr>
              <w:suppressAutoHyphens/>
              <w:jc w:val="center"/>
              <w:rPr>
                <w:b/>
              </w:rPr>
            </w:pPr>
            <w:r>
              <w:rPr>
                <w:b/>
              </w:rPr>
              <w:t>2</w:t>
            </w:r>
          </w:p>
        </w:tc>
        <w:tc>
          <w:tcPr>
            <w:tcW w:w="7455" w:type="dxa"/>
          </w:tcPr>
          <w:p w14:paraId="6CDE04F7" w14:textId="46255F94" w:rsidR="00A90EAD" w:rsidRPr="007D553D" w:rsidRDefault="005446CF" w:rsidP="00A90EAD">
            <w:pPr>
              <w:suppressAutoHyphens/>
            </w:pPr>
            <w:r w:rsidRPr="005446CF">
              <w:t>Green Pace’s Security Policy sets the standard for secure coding and system practices. It focuses on key areas like input validation, safe memory handling, exception management, secure logging, and encryption. By following these standards, developers create multiple layers of protection. This defense-in-depth approach ensures that if one control fails, others continue to keep the system secure.</w:t>
            </w:r>
          </w:p>
        </w:tc>
      </w:tr>
      <w:tr w:rsidR="00A90EAD" w:rsidRPr="007D553D" w14:paraId="389ED8C6" w14:textId="77777777" w:rsidTr="007D553D">
        <w:trPr>
          <w:trHeight w:val="1373"/>
        </w:trPr>
        <w:tc>
          <w:tcPr>
            <w:tcW w:w="2115" w:type="dxa"/>
            <w:vAlign w:val="center"/>
          </w:tcPr>
          <w:p w14:paraId="46806FAD" w14:textId="45DB16CF" w:rsidR="00A90EAD" w:rsidRPr="007D553D" w:rsidRDefault="00A90EAD" w:rsidP="00A90EAD">
            <w:pPr>
              <w:suppressAutoHyphens/>
              <w:jc w:val="center"/>
              <w:rPr>
                <w:b/>
              </w:rPr>
            </w:pPr>
            <w:r>
              <w:rPr>
                <w:b/>
              </w:rPr>
              <w:t>3</w:t>
            </w:r>
          </w:p>
        </w:tc>
        <w:tc>
          <w:tcPr>
            <w:tcW w:w="7455" w:type="dxa"/>
          </w:tcPr>
          <w:p w14:paraId="484921B4" w14:textId="76A0D2CE" w:rsidR="00A90EAD" w:rsidRPr="007D553D" w:rsidRDefault="00415FEF" w:rsidP="00A90EAD">
            <w:pPr>
              <w:suppressAutoHyphens/>
            </w:pPr>
            <w:r>
              <w:t xml:space="preserve">The following threat matrix </w:t>
            </w:r>
            <w:r w:rsidR="006E1C46">
              <w:t>shows the threat level and priority for vulnerabilities covered under the Green Pace security policy</w:t>
            </w:r>
            <w:r w:rsidR="00B550AC">
              <w:t>.</w:t>
            </w:r>
            <w:r w:rsidR="006E1C46">
              <w:br/>
            </w:r>
            <w:r w:rsidR="00144D51">
              <w:t xml:space="preserve">High </w:t>
            </w:r>
            <w:r w:rsidR="003657AA">
              <w:t>priority</w:t>
            </w:r>
            <w:r w:rsidR="00144D51">
              <w:t xml:space="preserve"> threat should be addressed first </w:t>
            </w:r>
            <w:r w:rsidR="003657AA">
              <w:t xml:space="preserve">however do not </w:t>
            </w:r>
            <w:r w:rsidR="002918B4">
              <w:t>ignore low level threats plan for them as soon as higher priority threat</w:t>
            </w:r>
            <w:r w:rsidR="00B550AC">
              <w:t xml:space="preserve"> coverage is </w:t>
            </w:r>
            <w:r w:rsidR="002918B4">
              <w:t xml:space="preserve">placed into </w:t>
            </w:r>
            <w:r w:rsidR="00B550AC">
              <w:t>action.</w:t>
            </w:r>
          </w:p>
        </w:tc>
      </w:tr>
      <w:tr w:rsidR="00A90EAD" w:rsidRPr="007D553D" w14:paraId="60921BDE" w14:textId="77777777" w:rsidTr="007D553D">
        <w:trPr>
          <w:trHeight w:val="1296"/>
        </w:trPr>
        <w:tc>
          <w:tcPr>
            <w:tcW w:w="2115" w:type="dxa"/>
            <w:vAlign w:val="center"/>
          </w:tcPr>
          <w:p w14:paraId="40EEEA5D" w14:textId="7E4C6675" w:rsidR="00A90EAD" w:rsidRPr="007D553D" w:rsidRDefault="00A90EAD" w:rsidP="00A90EAD">
            <w:pPr>
              <w:suppressAutoHyphens/>
              <w:jc w:val="center"/>
              <w:rPr>
                <w:b/>
              </w:rPr>
            </w:pPr>
            <w:r>
              <w:rPr>
                <w:b/>
              </w:rPr>
              <w:t>4</w:t>
            </w:r>
          </w:p>
        </w:tc>
        <w:tc>
          <w:tcPr>
            <w:tcW w:w="7455" w:type="dxa"/>
          </w:tcPr>
          <w:tbl>
            <w:tblPr>
              <w:tblW w:w="6134" w:type="dxa"/>
              <w:tblCellMar>
                <w:left w:w="0" w:type="dxa"/>
                <w:right w:w="0" w:type="dxa"/>
              </w:tblCellMar>
              <w:tblLook w:val="06A0" w:firstRow="1" w:lastRow="0" w:firstColumn="1" w:lastColumn="0" w:noHBand="1" w:noVBand="1"/>
            </w:tblPr>
            <w:tblGrid>
              <w:gridCol w:w="3067"/>
              <w:gridCol w:w="3067"/>
            </w:tblGrid>
            <w:tr w:rsidR="00860269" w:rsidRPr="008745A8" w14:paraId="69437358" w14:textId="7570FA1B" w:rsidTr="00860269">
              <w:trPr>
                <w:trHeight w:val="796"/>
              </w:trPr>
              <w:tc>
                <w:tcPr>
                  <w:tcW w:w="3067" w:type="dxa"/>
                  <w:tcBorders>
                    <w:top w:val="single" w:sz="6" w:space="0" w:color="9E9E9E"/>
                    <w:left w:val="single" w:sz="6" w:space="0" w:color="9E9E9E"/>
                    <w:bottom w:val="single" w:sz="6" w:space="0" w:color="9E9E9E"/>
                    <w:right w:val="single" w:sz="6" w:space="0" w:color="9E9E9E"/>
                  </w:tcBorders>
                  <w:tcMar>
                    <w:top w:w="54" w:type="dxa"/>
                    <w:left w:w="54" w:type="dxa"/>
                    <w:bottom w:w="54" w:type="dxa"/>
                    <w:right w:w="54" w:type="dxa"/>
                  </w:tcMar>
                  <w:vAlign w:val="center"/>
                  <w:hideMark/>
                </w:tcPr>
                <w:p w14:paraId="7785F636" w14:textId="77777777" w:rsidR="00860269" w:rsidRPr="008745A8" w:rsidRDefault="00860269" w:rsidP="008745A8">
                  <w:pPr>
                    <w:suppressAutoHyphens/>
                    <w:spacing w:after="0" w:line="240" w:lineRule="auto"/>
                  </w:pPr>
                  <w:r w:rsidRPr="008745A8">
                    <w:t>Validate Input Data</w:t>
                  </w:r>
                </w:p>
              </w:tc>
              <w:tc>
                <w:tcPr>
                  <w:tcW w:w="3067" w:type="dxa"/>
                  <w:tcBorders>
                    <w:top w:val="single" w:sz="6" w:space="0" w:color="9E9E9E"/>
                    <w:left w:val="single" w:sz="6" w:space="0" w:color="9E9E9E"/>
                    <w:bottom w:val="single" w:sz="6" w:space="0" w:color="9E9E9E"/>
                    <w:right w:val="single" w:sz="6" w:space="0" w:color="9E9E9E"/>
                  </w:tcBorders>
                </w:tcPr>
                <w:p w14:paraId="0A37C30A" w14:textId="5177942B" w:rsidR="00860269" w:rsidRPr="008745A8" w:rsidRDefault="00C75773" w:rsidP="008745A8">
                  <w:pPr>
                    <w:suppressAutoHyphens/>
                    <w:spacing w:after="0" w:line="240" w:lineRule="auto"/>
                  </w:pPr>
                  <w:r>
                    <w:t>Has been applied to 5 coding standards.</w:t>
                  </w:r>
                </w:p>
              </w:tc>
            </w:tr>
            <w:tr w:rsidR="00860269" w:rsidRPr="008745A8" w14:paraId="1468321C" w14:textId="1A258A8E" w:rsidTr="00860269">
              <w:trPr>
                <w:trHeight w:val="626"/>
              </w:trPr>
              <w:tc>
                <w:tcPr>
                  <w:tcW w:w="3067" w:type="dxa"/>
                  <w:tcBorders>
                    <w:top w:val="single" w:sz="6" w:space="0" w:color="9E9E9E"/>
                    <w:left w:val="single" w:sz="6" w:space="0" w:color="9E9E9E"/>
                    <w:bottom w:val="single" w:sz="6" w:space="0" w:color="9E9E9E"/>
                    <w:right w:val="single" w:sz="6" w:space="0" w:color="9E9E9E"/>
                  </w:tcBorders>
                  <w:tcMar>
                    <w:top w:w="54" w:type="dxa"/>
                    <w:left w:w="54" w:type="dxa"/>
                    <w:bottom w:w="54" w:type="dxa"/>
                    <w:right w:w="54" w:type="dxa"/>
                  </w:tcMar>
                  <w:vAlign w:val="center"/>
                  <w:hideMark/>
                </w:tcPr>
                <w:p w14:paraId="5BACEF61" w14:textId="764F831E" w:rsidR="00860269" w:rsidRPr="008745A8" w:rsidRDefault="00860269" w:rsidP="008745A8">
                  <w:pPr>
                    <w:suppressAutoHyphens/>
                    <w:spacing w:after="0" w:line="240" w:lineRule="auto"/>
                  </w:pPr>
                  <w:r w:rsidRPr="008745A8">
                    <w:t>Heed Compiler Warnings</w:t>
                  </w:r>
                </w:p>
              </w:tc>
              <w:tc>
                <w:tcPr>
                  <w:tcW w:w="3067" w:type="dxa"/>
                  <w:tcBorders>
                    <w:top w:val="single" w:sz="6" w:space="0" w:color="9E9E9E"/>
                    <w:left w:val="single" w:sz="6" w:space="0" w:color="9E9E9E"/>
                    <w:bottom w:val="single" w:sz="6" w:space="0" w:color="9E9E9E"/>
                    <w:right w:val="single" w:sz="6" w:space="0" w:color="9E9E9E"/>
                  </w:tcBorders>
                </w:tcPr>
                <w:p w14:paraId="2D413783" w14:textId="2CDF93AE" w:rsidR="00860269" w:rsidRPr="008745A8" w:rsidRDefault="00C75773" w:rsidP="008745A8">
                  <w:pPr>
                    <w:suppressAutoHyphens/>
                    <w:spacing w:after="0" w:line="240" w:lineRule="auto"/>
                  </w:pPr>
                  <w:r>
                    <w:t xml:space="preserve">Has been applied to </w:t>
                  </w:r>
                  <w:r w:rsidR="00B55C76">
                    <w:t>1</w:t>
                  </w:r>
                  <w:r>
                    <w:t xml:space="preserve"> coding standards.</w:t>
                  </w:r>
                </w:p>
              </w:tc>
            </w:tr>
            <w:tr w:rsidR="00860269" w:rsidRPr="008745A8" w14:paraId="33EBDA5F" w14:textId="5791E47D" w:rsidTr="00860269">
              <w:trPr>
                <w:trHeight w:val="796"/>
              </w:trPr>
              <w:tc>
                <w:tcPr>
                  <w:tcW w:w="3067" w:type="dxa"/>
                  <w:tcBorders>
                    <w:top w:val="single" w:sz="6" w:space="0" w:color="9E9E9E"/>
                    <w:left w:val="single" w:sz="6" w:space="0" w:color="9E9E9E"/>
                    <w:bottom w:val="single" w:sz="6" w:space="0" w:color="9E9E9E"/>
                    <w:right w:val="single" w:sz="6" w:space="0" w:color="9E9E9E"/>
                  </w:tcBorders>
                  <w:tcMar>
                    <w:top w:w="54" w:type="dxa"/>
                    <w:left w:w="54" w:type="dxa"/>
                    <w:bottom w:w="54" w:type="dxa"/>
                    <w:right w:w="54" w:type="dxa"/>
                  </w:tcMar>
                  <w:vAlign w:val="center"/>
                  <w:hideMark/>
                </w:tcPr>
                <w:p w14:paraId="7C5715CA" w14:textId="77777777" w:rsidR="00860269" w:rsidRPr="008745A8" w:rsidRDefault="00860269" w:rsidP="008745A8">
                  <w:pPr>
                    <w:suppressAutoHyphens/>
                    <w:spacing w:after="0" w:line="240" w:lineRule="auto"/>
                  </w:pPr>
                  <w:r w:rsidRPr="008745A8">
                    <w:t>Architect and Design for Security Policies</w:t>
                  </w:r>
                </w:p>
              </w:tc>
              <w:tc>
                <w:tcPr>
                  <w:tcW w:w="3067" w:type="dxa"/>
                  <w:tcBorders>
                    <w:top w:val="single" w:sz="6" w:space="0" w:color="9E9E9E"/>
                    <w:left w:val="single" w:sz="6" w:space="0" w:color="9E9E9E"/>
                    <w:bottom w:val="single" w:sz="6" w:space="0" w:color="9E9E9E"/>
                    <w:right w:val="single" w:sz="6" w:space="0" w:color="9E9E9E"/>
                  </w:tcBorders>
                </w:tcPr>
                <w:p w14:paraId="12F77218" w14:textId="72488351" w:rsidR="00860269" w:rsidRPr="008745A8" w:rsidRDefault="0067229E" w:rsidP="008745A8">
                  <w:pPr>
                    <w:suppressAutoHyphens/>
                    <w:spacing w:after="0" w:line="240" w:lineRule="auto"/>
                  </w:pPr>
                  <w:r>
                    <w:t>Has been applied to 1 coding standards.</w:t>
                  </w:r>
                </w:p>
              </w:tc>
            </w:tr>
            <w:tr w:rsidR="00860269" w:rsidRPr="008745A8" w14:paraId="045DEA79" w14:textId="442941C7" w:rsidTr="00860269">
              <w:trPr>
                <w:trHeight w:val="626"/>
              </w:trPr>
              <w:tc>
                <w:tcPr>
                  <w:tcW w:w="3067" w:type="dxa"/>
                  <w:tcBorders>
                    <w:top w:val="single" w:sz="6" w:space="0" w:color="9E9E9E"/>
                    <w:left w:val="single" w:sz="6" w:space="0" w:color="9E9E9E"/>
                    <w:bottom w:val="single" w:sz="6" w:space="0" w:color="9E9E9E"/>
                    <w:right w:val="single" w:sz="6" w:space="0" w:color="9E9E9E"/>
                  </w:tcBorders>
                  <w:tcMar>
                    <w:top w:w="54" w:type="dxa"/>
                    <w:left w:w="54" w:type="dxa"/>
                    <w:bottom w:w="54" w:type="dxa"/>
                    <w:right w:w="54" w:type="dxa"/>
                  </w:tcMar>
                  <w:vAlign w:val="center"/>
                  <w:hideMark/>
                </w:tcPr>
                <w:p w14:paraId="7A254F3E" w14:textId="77777777" w:rsidR="00860269" w:rsidRPr="008745A8" w:rsidRDefault="00860269" w:rsidP="008745A8">
                  <w:pPr>
                    <w:suppressAutoHyphens/>
                    <w:spacing w:after="0" w:line="240" w:lineRule="auto"/>
                  </w:pPr>
                  <w:r w:rsidRPr="008745A8">
                    <w:t>Keep It Simple</w:t>
                  </w:r>
                </w:p>
              </w:tc>
              <w:tc>
                <w:tcPr>
                  <w:tcW w:w="3067" w:type="dxa"/>
                  <w:tcBorders>
                    <w:top w:val="single" w:sz="6" w:space="0" w:color="9E9E9E"/>
                    <w:left w:val="single" w:sz="6" w:space="0" w:color="9E9E9E"/>
                    <w:bottom w:val="single" w:sz="6" w:space="0" w:color="9E9E9E"/>
                    <w:right w:val="single" w:sz="6" w:space="0" w:color="9E9E9E"/>
                  </w:tcBorders>
                </w:tcPr>
                <w:p w14:paraId="7DCD41A3" w14:textId="68CC0EF6" w:rsidR="00860269" w:rsidRPr="008745A8" w:rsidRDefault="0015075B" w:rsidP="008745A8">
                  <w:pPr>
                    <w:suppressAutoHyphens/>
                    <w:spacing w:after="0" w:line="240" w:lineRule="auto"/>
                  </w:pPr>
                  <w:r>
                    <w:t>Has been applied to 5 coding standards.</w:t>
                  </w:r>
                </w:p>
              </w:tc>
            </w:tr>
            <w:tr w:rsidR="00860269" w:rsidRPr="008745A8" w14:paraId="630E87C1" w14:textId="418EA4BB" w:rsidTr="00860269">
              <w:trPr>
                <w:trHeight w:val="626"/>
              </w:trPr>
              <w:tc>
                <w:tcPr>
                  <w:tcW w:w="3067" w:type="dxa"/>
                  <w:tcBorders>
                    <w:top w:val="single" w:sz="6" w:space="0" w:color="9E9E9E"/>
                    <w:left w:val="single" w:sz="6" w:space="0" w:color="9E9E9E"/>
                    <w:bottom w:val="single" w:sz="6" w:space="0" w:color="9E9E9E"/>
                    <w:right w:val="single" w:sz="6" w:space="0" w:color="9E9E9E"/>
                  </w:tcBorders>
                  <w:tcMar>
                    <w:top w:w="54" w:type="dxa"/>
                    <w:left w:w="54" w:type="dxa"/>
                    <w:bottom w:w="54" w:type="dxa"/>
                    <w:right w:w="54" w:type="dxa"/>
                  </w:tcMar>
                  <w:vAlign w:val="center"/>
                  <w:hideMark/>
                </w:tcPr>
                <w:p w14:paraId="21F8DBA2" w14:textId="77777777" w:rsidR="00860269" w:rsidRPr="008745A8" w:rsidRDefault="00860269" w:rsidP="008745A8">
                  <w:pPr>
                    <w:suppressAutoHyphens/>
                    <w:spacing w:after="0" w:line="240" w:lineRule="auto"/>
                  </w:pPr>
                  <w:r w:rsidRPr="008745A8">
                    <w:t>Default Deny</w:t>
                  </w:r>
                </w:p>
              </w:tc>
              <w:tc>
                <w:tcPr>
                  <w:tcW w:w="3067" w:type="dxa"/>
                  <w:tcBorders>
                    <w:top w:val="single" w:sz="6" w:space="0" w:color="9E9E9E"/>
                    <w:left w:val="single" w:sz="6" w:space="0" w:color="9E9E9E"/>
                    <w:bottom w:val="single" w:sz="6" w:space="0" w:color="9E9E9E"/>
                    <w:right w:val="single" w:sz="6" w:space="0" w:color="9E9E9E"/>
                  </w:tcBorders>
                </w:tcPr>
                <w:p w14:paraId="18526457" w14:textId="36B11045" w:rsidR="00860269" w:rsidRPr="008745A8" w:rsidRDefault="00AA5ACD" w:rsidP="008745A8">
                  <w:pPr>
                    <w:suppressAutoHyphens/>
                    <w:spacing w:after="0" w:line="240" w:lineRule="auto"/>
                  </w:pPr>
                  <w:r>
                    <w:t>Has been applied to 5 coding standards.</w:t>
                  </w:r>
                </w:p>
              </w:tc>
            </w:tr>
            <w:tr w:rsidR="00860269" w:rsidRPr="008745A8" w14:paraId="6586B41F" w14:textId="4705A4B3" w:rsidTr="00860269">
              <w:trPr>
                <w:trHeight w:val="744"/>
              </w:trPr>
              <w:tc>
                <w:tcPr>
                  <w:tcW w:w="3067" w:type="dxa"/>
                  <w:tcBorders>
                    <w:top w:val="single" w:sz="6" w:space="0" w:color="9E9E9E"/>
                    <w:left w:val="single" w:sz="6" w:space="0" w:color="9E9E9E"/>
                    <w:bottom w:val="single" w:sz="6" w:space="0" w:color="9E9E9E"/>
                    <w:right w:val="single" w:sz="6" w:space="0" w:color="9E9E9E"/>
                  </w:tcBorders>
                  <w:tcMar>
                    <w:top w:w="54" w:type="dxa"/>
                    <w:left w:w="54" w:type="dxa"/>
                    <w:bottom w:w="54" w:type="dxa"/>
                    <w:right w:w="54" w:type="dxa"/>
                  </w:tcMar>
                  <w:vAlign w:val="center"/>
                  <w:hideMark/>
                </w:tcPr>
                <w:p w14:paraId="3F7ACFE7" w14:textId="77777777" w:rsidR="00860269" w:rsidRPr="008745A8" w:rsidRDefault="00860269" w:rsidP="008745A8">
                  <w:pPr>
                    <w:suppressAutoHyphens/>
                    <w:spacing w:after="0" w:line="240" w:lineRule="auto"/>
                  </w:pPr>
                  <w:r w:rsidRPr="008745A8">
                    <w:lastRenderedPageBreak/>
                    <w:t>Adhere to the Principle of Least Privilege</w:t>
                  </w:r>
                </w:p>
              </w:tc>
              <w:tc>
                <w:tcPr>
                  <w:tcW w:w="3067" w:type="dxa"/>
                  <w:tcBorders>
                    <w:top w:val="single" w:sz="6" w:space="0" w:color="9E9E9E"/>
                    <w:left w:val="single" w:sz="6" w:space="0" w:color="9E9E9E"/>
                    <w:bottom w:val="single" w:sz="6" w:space="0" w:color="9E9E9E"/>
                    <w:right w:val="single" w:sz="6" w:space="0" w:color="9E9E9E"/>
                  </w:tcBorders>
                </w:tcPr>
                <w:p w14:paraId="3E8C2F55" w14:textId="25A2A56F" w:rsidR="00860269" w:rsidRPr="008745A8" w:rsidRDefault="00F12C2B" w:rsidP="008745A8">
                  <w:pPr>
                    <w:suppressAutoHyphens/>
                    <w:spacing w:after="0" w:line="240" w:lineRule="auto"/>
                  </w:pPr>
                  <w:r>
                    <w:t>Has been applied to 1 coding standards.</w:t>
                  </w:r>
                </w:p>
              </w:tc>
            </w:tr>
            <w:tr w:rsidR="00860269" w:rsidRPr="008745A8" w14:paraId="01C18D88" w14:textId="7CD0A07C" w:rsidTr="00860269">
              <w:trPr>
                <w:trHeight w:val="626"/>
              </w:trPr>
              <w:tc>
                <w:tcPr>
                  <w:tcW w:w="3067" w:type="dxa"/>
                  <w:tcBorders>
                    <w:top w:val="single" w:sz="6" w:space="0" w:color="9E9E9E"/>
                    <w:left w:val="single" w:sz="6" w:space="0" w:color="9E9E9E"/>
                    <w:bottom w:val="single" w:sz="6" w:space="0" w:color="9E9E9E"/>
                    <w:right w:val="single" w:sz="6" w:space="0" w:color="9E9E9E"/>
                  </w:tcBorders>
                  <w:tcMar>
                    <w:top w:w="54" w:type="dxa"/>
                    <w:left w:w="54" w:type="dxa"/>
                    <w:bottom w:w="54" w:type="dxa"/>
                    <w:right w:w="54" w:type="dxa"/>
                  </w:tcMar>
                  <w:vAlign w:val="center"/>
                  <w:hideMark/>
                </w:tcPr>
                <w:p w14:paraId="7BB8F5FB" w14:textId="77777777" w:rsidR="00860269" w:rsidRPr="008745A8" w:rsidRDefault="00860269" w:rsidP="008745A8">
                  <w:pPr>
                    <w:suppressAutoHyphens/>
                    <w:spacing w:after="0" w:line="240" w:lineRule="auto"/>
                  </w:pPr>
                  <w:r w:rsidRPr="008745A8">
                    <w:t>Sanitize Data Sent to Other Systems</w:t>
                  </w:r>
                </w:p>
              </w:tc>
              <w:tc>
                <w:tcPr>
                  <w:tcW w:w="3067" w:type="dxa"/>
                  <w:tcBorders>
                    <w:top w:val="single" w:sz="6" w:space="0" w:color="9E9E9E"/>
                    <w:left w:val="single" w:sz="6" w:space="0" w:color="9E9E9E"/>
                    <w:bottom w:val="single" w:sz="6" w:space="0" w:color="9E9E9E"/>
                    <w:right w:val="single" w:sz="6" w:space="0" w:color="9E9E9E"/>
                  </w:tcBorders>
                </w:tcPr>
                <w:p w14:paraId="6AA9B9BE" w14:textId="44280CAE" w:rsidR="00860269" w:rsidRPr="008745A8" w:rsidRDefault="00060604" w:rsidP="008745A8">
                  <w:pPr>
                    <w:suppressAutoHyphens/>
                    <w:spacing w:after="0" w:line="240" w:lineRule="auto"/>
                  </w:pPr>
                  <w:r>
                    <w:t>Has been applied to 2 coding standards.</w:t>
                  </w:r>
                </w:p>
              </w:tc>
            </w:tr>
            <w:tr w:rsidR="00860269" w:rsidRPr="008745A8" w14:paraId="57C8ADF3" w14:textId="1900FBE9" w:rsidTr="00860269">
              <w:trPr>
                <w:trHeight w:val="626"/>
              </w:trPr>
              <w:tc>
                <w:tcPr>
                  <w:tcW w:w="3067" w:type="dxa"/>
                  <w:tcBorders>
                    <w:top w:val="single" w:sz="6" w:space="0" w:color="9E9E9E"/>
                    <w:left w:val="single" w:sz="6" w:space="0" w:color="9E9E9E"/>
                    <w:bottom w:val="single" w:sz="6" w:space="0" w:color="9E9E9E"/>
                    <w:right w:val="single" w:sz="6" w:space="0" w:color="9E9E9E"/>
                  </w:tcBorders>
                  <w:tcMar>
                    <w:top w:w="54" w:type="dxa"/>
                    <w:left w:w="54" w:type="dxa"/>
                    <w:bottom w:w="54" w:type="dxa"/>
                    <w:right w:w="54" w:type="dxa"/>
                  </w:tcMar>
                  <w:vAlign w:val="center"/>
                  <w:hideMark/>
                </w:tcPr>
                <w:p w14:paraId="795F4AE2" w14:textId="77777777" w:rsidR="00860269" w:rsidRPr="008745A8" w:rsidRDefault="00860269" w:rsidP="008745A8">
                  <w:pPr>
                    <w:suppressAutoHyphens/>
                    <w:spacing w:after="0" w:line="240" w:lineRule="auto"/>
                  </w:pPr>
                  <w:r w:rsidRPr="008745A8">
                    <w:t xml:space="preserve">Practice Defense in Depth </w:t>
                  </w:r>
                </w:p>
              </w:tc>
              <w:tc>
                <w:tcPr>
                  <w:tcW w:w="3067" w:type="dxa"/>
                  <w:tcBorders>
                    <w:top w:val="single" w:sz="6" w:space="0" w:color="9E9E9E"/>
                    <w:left w:val="single" w:sz="6" w:space="0" w:color="9E9E9E"/>
                    <w:bottom w:val="single" w:sz="6" w:space="0" w:color="9E9E9E"/>
                    <w:right w:val="single" w:sz="6" w:space="0" w:color="9E9E9E"/>
                  </w:tcBorders>
                </w:tcPr>
                <w:p w14:paraId="55CCD24A" w14:textId="527C938C" w:rsidR="00860269" w:rsidRPr="008745A8" w:rsidRDefault="00DD5FBB" w:rsidP="008745A8">
                  <w:pPr>
                    <w:suppressAutoHyphens/>
                    <w:spacing w:after="0" w:line="240" w:lineRule="auto"/>
                  </w:pPr>
                  <w:r>
                    <w:t>Has been applied to 5 coding standards.</w:t>
                  </w:r>
                </w:p>
              </w:tc>
            </w:tr>
            <w:tr w:rsidR="00860269" w:rsidRPr="008745A8" w14:paraId="72B12112" w14:textId="6B8C1332" w:rsidTr="00860269">
              <w:trPr>
                <w:trHeight w:val="744"/>
              </w:trPr>
              <w:tc>
                <w:tcPr>
                  <w:tcW w:w="3067" w:type="dxa"/>
                  <w:tcBorders>
                    <w:top w:val="single" w:sz="6" w:space="0" w:color="9E9E9E"/>
                    <w:left w:val="single" w:sz="6" w:space="0" w:color="9E9E9E"/>
                    <w:bottom w:val="single" w:sz="6" w:space="0" w:color="9E9E9E"/>
                    <w:right w:val="single" w:sz="6" w:space="0" w:color="9E9E9E"/>
                  </w:tcBorders>
                  <w:tcMar>
                    <w:top w:w="54" w:type="dxa"/>
                    <w:left w:w="54" w:type="dxa"/>
                    <w:bottom w:w="54" w:type="dxa"/>
                    <w:right w:w="54" w:type="dxa"/>
                  </w:tcMar>
                  <w:vAlign w:val="center"/>
                  <w:hideMark/>
                </w:tcPr>
                <w:p w14:paraId="48C618C5" w14:textId="77777777" w:rsidR="00860269" w:rsidRPr="008745A8" w:rsidRDefault="00860269" w:rsidP="008745A8">
                  <w:pPr>
                    <w:suppressAutoHyphens/>
                    <w:spacing w:after="0" w:line="240" w:lineRule="auto"/>
                  </w:pPr>
                  <w:r w:rsidRPr="008745A8">
                    <w:t>Secure and Privacy-Conscious Logging</w:t>
                  </w:r>
                </w:p>
              </w:tc>
              <w:tc>
                <w:tcPr>
                  <w:tcW w:w="3067" w:type="dxa"/>
                  <w:tcBorders>
                    <w:top w:val="single" w:sz="6" w:space="0" w:color="9E9E9E"/>
                    <w:left w:val="single" w:sz="6" w:space="0" w:color="9E9E9E"/>
                    <w:bottom w:val="single" w:sz="6" w:space="0" w:color="9E9E9E"/>
                    <w:right w:val="single" w:sz="6" w:space="0" w:color="9E9E9E"/>
                  </w:tcBorders>
                </w:tcPr>
                <w:p w14:paraId="77C94A77" w14:textId="2BBC6382" w:rsidR="00860269" w:rsidRPr="008745A8" w:rsidRDefault="00A611EF" w:rsidP="008745A8">
                  <w:pPr>
                    <w:suppressAutoHyphens/>
                    <w:spacing w:after="0" w:line="240" w:lineRule="auto"/>
                  </w:pPr>
                  <w:r>
                    <w:t>Has been applied to 6 coding standards.</w:t>
                  </w:r>
                </w:p>
              </w:tc>
            </w:tr>
            <w:tr w:rsidR="00860269" w:rsidRPr="008745A8" w14:paraId="313B1180" w14:textId="58C60D84" w:rsidTr="00860269">
              <w:trPr>
                <w:trHeight w:val="744"/>
              </w:trPr>
              <w:tc>
                <w:tcPr>
                  <w:tcW w:w="3067" w:type="dxa"/>
                  <w:tcBorders>
                    <w:top w:val="single" w:sz="6" w:space="0" w:color="9E9E9E"/>
                    <w:left w:val="single" w:sz="6" w:space="0" w:color="9E9E9E"/>
                    <w:bottom w:val="single" w:sz="6" w:space="0" w:color="9E9E9E"/>
                    <w:right w:val="single" w:sz="6" w:space="0" w:color="9E9E9E"/>
                  </w:tcBorders>
                  <w:tcMar>
                    <w:top w:w="54" w:type="dxa"/>
                    <w:left w:w="54" w:type="dxa"/>
                    <w:bottom w:w="54" w:type="dxa"/>
                    <w:right w:w="54" w:type="dxa"/>
                  </w:tcMar>
                  <w:vAlign w:val="center"/>
                  <w:hideMark/>
                </w:tcPr>
                <w:p w14:paraId="104E91C6" w14:textId="77777777" w:rsidR="00860269" w:rsidRPr="008745A8" w:rsidRDefault="00860269" w:rsidP="008745A8">
                  <w:pPr>
                    <w:suppressAutoHyphens/>
                    <w:spacing w:after="0" w:line="240" w:lineRule="auto"/>
                  </w:pPr>
                  <w:r w:rsidRPr="008745A8">
                    <w:t>Consistent and Correct Error Code Handling</w:t>
                  </w:r>
                </w:p>
              </w:tc>
              <w:tc>
                <w:tcPr>
                  <w:tcW w:w="3067" w:type="dxa"/>
                  <w:tcBorders>
                    <w:top w:val="single" w:sz="6" w:space="0" w:color="9E9E9E"/>
                    <w:left w:val="single" w:sz="6" w:space="0" w:color="9E9E9E"/>
                    <w:bottom w:val="single" w:sz="6" w:space="0" w:color="9E9E9E"/>
                    <w:right w:val="single" w:sz="6" w:space="0" w:color="9E9E9E"/>
                  </w:tcBorders>
                </w:tcPr>
                <w:p w14:paraId="4101553F" w14:textId="613356F0" w:rsidR="00860269" w:rsidRPr="008745A8" w:rsidRDefault="00B44D01" w:rsidP="008745A8">
                  <w:pPr>
                    <w:suppressAutoHyphens/>
                    <w:spacing w:after="0" w:line="240" w:lineRule="auto"/>
                  </w:pPr>
                  <w:r>
                    <w:t>Has been applied to 4 coding standards.</w:t>
                  </w:r>
                </w:p>
              </w:tc>
            </w:tr>
          </w:tbl>
          <w:p w14:paraId="28A1C1BC" w14:textId="0E3A8ED3" w:rsidR="00A90EAD" w:rsidRPr="007D553D" w:rsidRDefault="00A90EAD" w:rsidP="00A90EAD">
            <w:pPr>
              <w:suppressAutoHyphens/>
            </w:pPr>
          </w:p>
        </w:tc>
      </w:tr>
      <w:tr w:rsidR="00A90EAD" w:rsidRPr="007D553D" w14:paraId="3E69DF9E" w14:textId="77777777" w:rsidTr="007D553D">
        <w:trPr>
          <w:trHeight w:val="1373"/>
        </w:trPr>
        <w:tc>
          <w:tcPr>
            <w:tcW w:w="2115" w:type="dxa"/>
            <w:vAlign w:val="center"/>
          </w:tcPr>
          <w:p w14:paraId="6043F3EE" w14:textId="2937F55A" w:rsidR="00A90EAD" w:rsidRPr="007D553D" w:rsidRDefault="00A90EAD" w:rsidP="00A90EAD">
            <w:pPr>
              <w:suppressAutoHyphens/>
              <w:jc w:val="center"/>
              <w:rPr>
                <w:b/>
              </w:rPr>
            </w:pPr>
            <w:r>
              <w:rPr>
                <w:b/>
              </w:rPr>
              <w:lastRenderedPageBreak/>
              <w:t>5</w:t>
            </w:r>
          </w:p>
        </w:tc>
        <w:tc>
          <w:tcPr>
            <w:tcW w:w="7455" w:type="dxa"/>
          </w:tcPr>
          <w:p w14:paraId="79C27E10" w14:textId="0BC48C05" w:rsidR="007A185D" w:rsidRDefault="007168EF" w:rsidP="00A90EAD">
            <w:pPr>
              <w:suppressAutoHyphens/>
            </w:pPr>
            <w:r>
              <w:t xml:space="preserve">These coding standards </w:t>
            </w:r>
            <w:r w:rsidR="007A185D">
              <w:t>are identified by priority and threat level as seen in the earlier threat matrix.</w:t>
            </w:r>
            <w:r w:rsidR="00343E43">
              <w:t xml:space="preserve"> </w:t>
            </w:r>
            <w:r w:rsidR="00EB2A50">
              <w:t xml:space="preserve">Coding standards </w:t>
            </w:r>
            <w:r w:rsidR="005D2A2F">
              <w:t>were</w:t>
            </w:r>
            <w:r w:rsidR="00EB2A50">
              <w:t xml:space="preserve"> placed into a threat level category based on several factors such a</w:t>
            </w:r>
            <w:r w:rsidR="001E6044">
              <w:t>s severity, cost, priority, and likelihood.</w:t>
            </w:r>
          </w:p>
          <w:p w14:paraId="29F1DAF6" w14:textId="52BC33E6" w:rsidR="001E6044" w:rsidRPr="007D553D" w:rsidRDefault="001E6044" w:rsidP="00A90EAD">
            <w:pPr>
              <w:suppressAutoHyphens/>
            </w:pPr>
          </w:p>
        </w:tc>
      </w:tr>
      <w:tr w:rsidR="00A90EAD" w:rsidRPr="007D553D" w14:paraId="58F717C1" w14:textId="77777777" w:rsidTr="007D553D">
        <w:trPr>
          <w:trHeight w:val="1296"/>
        </w:trPr>
        <w:tc>
          <w:tcPr>
            <w:tcW w:w="2115" w:type="dxa"/>
            <w:vAlign w:val="center"/>
          </w:tcPr>
          <w:p w14:paraId="7EB4787A" w14:textId="50EB7B1C" w:rsidR="00A90EAD" w:rsidRPr="007D553D" w:rsidRDefault="00A90EAD" w:rsidP="00A90EAD">
            <w:pPr>
              <w:suppressAutoHyphens/>
              <w:jc w:val="center"/>
              <w:rPr>
                <w:b/>
              </w:rPr>
            </w:pPr>
            <w:r>
              <w:rPr>
                <w:b/>
              </w:rPr>
              <w:t>6</w:t>
            </w:r>
          </w:p>
        </w:tc>
        <w:tc>
          <w:tcPr>
            <w:tcW w:w="7455" w:type="dxa"/>
          </w:tcPr>
          <w:p w14:paraId="6C7ED67B" w14:textId="104630C7" w:rsidR="00A90EAD" w:rsidRPr="007D553D" w:rsidRDefault="00C77A7E" w:rsidP="00A90EAD">
            <w:pPr>
              <w:suppressAutoHyphens/>
            </w:pPr>
            <w:r w:rsidRPr="00C77A7E">
              <w:t>Encryption is a key part of our security policy because it protects sensitive data at every stage. Encryption at rest secures stored data, like credentials or personal information, using strong methods such as AES-256. Encryption in flight protects data moving across networks with protocols like TLS 1.3, preventing interception or tampering. Encryption in use safeguards data while it is actively being processed in memory, reducing risks from attacks on live data. Together, these policies ensure data stays protected whether stored, transmitted, or in use.</w:t>
            </w:r>
          </w:p>
        </w:tc>
      </w:tr>
      <w:tr w:rsidR="00A90EAD" w:rsidRPr="007D553D" w14:paraId="1D6184BF" w14:textId="77777777" w:rsidTr="007D553D">
        <w:trPr>
          <w:trHeight w:val="1373"/>
        </w:trPr>
        <w:tc>
          <w:tcPr>
            <w:tcW w:w="2115" w:type="dxa"/>
            <w:vAlign w:val="center"/>
          </w:tcPr>
          <w:p w14:paraId="1A5736AF" w14:textId="74656952" w:rsidR="00A90EAD" w:rsidRPr="007D553D" w:rsidRDefault="00A90EAD" w:rsidP="00A90EAD">
            <w:pPr>
              <w:suppressAutoHyphens/>
              <w:jc w:val="center"/>
              <w:rPr>
                <w:b/>
              </w:rPr>
            </w:pPr>
            <w:r>
              <w:rPr>
                <w:b/>
              </w:rPr>
              <w:t>7</w:t>
            </w:r>
          </w:p>
        </w:tc>
        <w:tc>
          <w:tcPr>
            <w:tcW w:w="7455" w:type="dxa"/>
          </w:tcPr>
          <w:p w14:paraId="1ED99CCF" w14:textId="777E66AC" w:rsidR="00A90EAD" w:rsidRPr="007D553D" w:rsidRDefault="009926DC" w:rsidP="00A90EAD">
            <w:pPr>
              <w:suppressAutoHyphens/>
            </w:pPr>
            <w:r w:rsidRPr="009926DC">
              <w:t>The Triple-A Framework</w:t>
            </w:r>
            <w:r>
              <w:t xml:space="preserve">, </w:t>
            </w:r>
            <w:r w:rsidRPr="009926DC">
              <w:t>Authentication, Authorization, and Accounting</w:t>
            </w:r>
            <w:r>
              <w:t xml:space="preserve">, </w:t>
            </w:r>
            <w:r w:rsidRPr="009926DC">
              <w:t>ensures secure access and accountability across Green Pace systems. Authentication verifies user identity, Authorization enforces least-privilege access, and Accounting logs all actions for compliance and audits. Together, they create layered security that controls entry, limits permissions, and tracks activity.</w:t>
            </w:r>
          </w:p>
        </w:tc>
      </w:tr>
      <w:tr w:rsidR="00A90EAD" w:rsidRPr="007D553D" w14:paraId="19E871C4" w14:textId="77777777" w:rsidTr="007D553D">
        <w:trPr>
          <w:trHeight w:val="1296"/>
        </w:trPr>
        <w:tc>
          <w:tcPr>
            <w:tcW w:w="2115" w:type="dxa"/>
            <w:vAlign w:val="center"/>
          </w:tcPr>
          <w:p w14:paraId="412E5B2B" w14:textId="4CDB7DEA" w:rsidR="00A90EAD" w:rsidRPr="007D553D" w:rsidRDefault="00A90EAD" w:rsidP="00A90EAD">
            <w:pPr>
              <w:suppressAutoHyphens/>
              <w:jc w:val="center"/>
              <w:rPr>
                <w:b/>
              </w:rPr>
            </w:pPr>
            <w:r>
              <w:rPr>
                <w:b/>
              </w:rPr>
              <w:t>8</w:t>
            </w:r>
          </w:p>
        </w:tc>
        <w:tc>
          <w:tcPr>
            <w:tcW w:w="7455" w:type="dxa"/>
          </w:tcPr>
          <w:p w14:paraId="2A6C5AE9" w14:textId="4E6EF061" w:rsidR="00A90EAD" w:rsidRPr="007D553D" w:rsidRDefault="00D02C5B" w:rsidP="00A90EAD">
            <w:pPr>
              <w:suppressAutoHyphens/>
            </w:pPr>
            <w:r w:rsidRPr="00D02C5B">
              <w:t>Unit testing is important because it helps catch security flaws early in development. By testing small pieces of code, we make sure functions like input validation, encryption, and error handling work as expected. This reduces vulnerabilities before software goes live, supporting our security policy and preventing costly fixes later.</w:t>
            </w:r>
          </w:p>
        </w:tc>
      </w:tr>
      <w:tr w:rsidR="00A90EAD" w:rsidRPr="007D553D" w14:paraId="1CB4AF40" w14:textId="77777777" w:rsidTr="007D553D">
        <w:trPr>
          <w:trHeight w:val="1296"/>
        </w:trPr>
        <w:tc>
          <w:tcPr>
            <w:tcW w:w="2115" w:type="dxa"/>
            <w:vAlign w:val="center"/>
          </w:tcPr>
          <w:p w14:paraId="05612CDF" w14:textId="2423FA1D" w:rsidR="00A90EAD" w:rsidRPr="007D553D" w:rsidRDefault="00097D00" w:rsidP="00A90EAD">
            <w:pPr>
              <w:suppressAutoHyphens/>
              <w:jc w:val="center"/>
              <w:rPr>
                <w:b/>
              </w:rPr>
            </w:pPr>
            <w:r>
              <w:rPr>
                <w:b/>
              </w:rPr>
              <w:lastRenderedPageBreak/>
              <w:t>9</w:t>
            </w:r>
          </w:p>
        </w:tc>
        <w:tc>
          <w:tcPr>
            <w:tcW w:w="7455" w:type="dxa"/>
          </w:tcPr>
          <w:p w14:paraId="3B071771" w14:textId="6E1E53F2" w:rsidR="0068380C" w:rsidRPr="0068380C" w:rsidRDefault="0068380C" w:rsidP="0068380C">
            <w:pPr>
              <w:suppressAutoHyphens/>
            </w:pPr>
            <w:r w:rsidRPr="0068380C">
              <w:rPr>
                <w:b/>
                <w:bCs/>
              </w:rPr>
              <w:t>What it does:</w:t>
            </w:r>
            <w:r w:rsidRPr="0068380C">
              <w:t xml:space="preserve"> Confirms that the collection object is properly created and starts empty.</w:t>
            </w:r>
          </w:p>
          <w:p w14:paraId="1A1B21B8" w14:textId="0DC382C9" w:rsidR="0068380C" w:rsidRPr="0068380C" w:rsidRDefault="0068380C" w:rsidP="0068380C">
            <w:pPr>
              <w:suppressAutoHyphens/>
            </w:pPr>
            <w:r w:rsidRPr="0068380C">
              <w:rPr>
                <w:b/>
                <w:bCs/>
              </w:rPr>
              <w:t>Why:</w:t>
            </w:r>
            <w:r w:rsidRPr="0068380C">
              <w:t xml:space="preserve"> Prevents null pointer dereference errors, which could crash the program or cause undefined behavior.</w:t>
            </w:r>
          </w:p>
          <w:p w14:paraId="7C03111E" w14:textId="11089E35" w:rsidR="00A90EAD" w:rsidRPr="007D553D" w:rsidRDefault="00A90EAD" w:rsidP="00A90EAD">
            <w:pPr>
              <w:suppressAutoHyphens/>
            </w:pPr>
          </w:p>
        </w:tc>
      </w:tr>
      <w:tr w:rsidR="00A90EAD" w:rsidRPr="007D553D" w14:paraId="16627A85" w14:textId="77777777" w:rsidTr="007D553D">
        <w:trPr>
          <w:trHeight w:val="1296"/>
        </w:trPr>
        <w:tc>
          <w:tcPr>
            <w:tcW w:w="2115" w:type="dxa"/>
            <w:vAlign w:val="center"/>
          </w:tcPr>
          <w:p w14:paraId="5AB3EDC2" w14:textId="1710C198" w:rsidR="00A90EAD" w:rsidRPr="007D553D" w:rsidRDefault="00097D00" w:rsidP="00A90EAD">
            <w:pPr>
              <w:suppressAutoHyphens/>
              <w:jc w:val="center"/>
              <w:rPr>
                <w:b/>
              </w:rPr>
            </w:pPr>
            <w:r>
              <w:rPr>
                <w:b/>
              </w:rPr>
              <w:t>10</w:t>
            </w:r>
          </w:p>
        </w:tc>
        <w:tc>
          <w:tcPr>
            <w:tcW w:w="7455" w:type="dxa"/>
          </w:tcPr>
          <w:p w14:paraId="722465AA" w14:textId="04B5B988" w:rsidR="009F41AB" w:rsidRPr="009F41AB" w:rsidRDefault="009F41AB" w:rsidP="009F41AB">
            <w:pPr>
              <w:suppressAutoHyphens/>
            </w:pPr>
            <w:r w:rsidRPr="009F41AB">
              <w:rPr>
                <w:b/>
                <w:bCs/>
              </w:rPr>
              <w:t>What it does:</w:t>
            </w:r>
            <w:r w:rsidRPr="009F41AB">
              <w:t xml:space="preserve"> Checks that a newly created collection starts empty with size 0.</w:t>
            </w:r>
          </w:p>
          <w:p w14:paraId="43B51E91" w14:textId="7FFF99A7" w:rsidR="00A90EAD" w:rsidRPr="007D553D" w:rsidRDefault="009F41AB" w:rsidP="00A90EAD">
            <w:pPr>
              <w:suppressAutoHyphens/>
            </w:pPr>
            <w:r w:rsidRPr="009F41AB">
              <w:rPr>
                <w:b/>
                <w:bCs/>
              </w:rPr>
              <w:t>Why:</w:t>
            </w:r>
            <w:r w:rsidRPr="009F41AB">
              <w:t xml:space="preserve"> Prevents logic errors that could occur if the collection incorrectly starts with elements</w:t>
            </w:r>
            <w:r w:rsidR="00473CF2">
              <w:t>.</w:t>
            </w:r>
          </w:p>
        </w:tc>
      </w:tr>
      <w:tr w:rsidR="00A90EAD" w:rsidRPr="007D553D" w14:paraId="609CC02D" w14:textId="77777777" w:rsidTr="007D553D">
        <w:trPr>
          <w:trHeight w:val="1296"/>
        </w:trPr>
        <w:tc>
          <w:tcPr>
            <w:tcW w:w="2115" w:type="dxa"/>
            <w:vAlign w:val="center"/>
          </w:tcPr>
          <w:p w14:paraId="5B02EBA0" w14:textId="5A32578A" w:rsidR="00A90EAD" w:rsidRPr="007D553D" w:rsidRDefault="00097D00" w:rsidP="00A90EAD">
            <w:pPr>
              <w:suppressAutoHyphens/>
              <w:jc w:val="center"/>
              <w:rPr>
                <w:b/>
              </w:rPr>
            </w:pPr>
            <w:r>
              <w:rPr>
                <w:b/>
              </w:rPr>
              <w:t>11</w:t>
            </w:r>
          </w:p>
        </w:tc>
        <w:tc>
          <w:tcPr>
            <w:tcW w:w="7455" w:type="dxa"/>
          </w:tcPr>
          <w:p w14:paraId="77167514" w14:textId="78FDE9EA" w:rsidR="009F41AB" w:rsidRPr="009F41AB" w:rsidRDefault="009F41AB" w:rsidP="009F41AB">
            <w:pPr>
              <w:suppressAutoHyphens/>
            </w:pPr>
            <w:r w:rsidRPr="009F41AB">
              <w:rPr>
                <w:b/>
                <w:bCs/>
              </w:rPr>
              <w:t>What it does:</w:t>
            </w:r>
            <w:r w:rsidRPr="009F41AB">
              <w:t xml:space="preserve"> Intentionally fails the test to confirm that Google Test properly detects and reports failed conditions.</w:t>
            </w:r>
          </w:p>
          <w:p w14:paraId="1A163284" w14:textId="7D49BE0D" w:rsidR="00A90EAD" w:rsidRPr="007D553D" w:rsidRDefault="009F41AB" w:rsidP="00A90EAD">
            <w:pPr>
              <w:suppressAutoHyphens/>
            </w:pPr>
            <w:r w:rsidRPr="009F41AB">
              <w:rPr>
                <w:b/>
                <w:bCs/>
              </w:rPr>
              <w:t>Why:</w:t>
            </w:r>
            <w:r w:rsidRPr="009F41AB">
              <w:t xml:space="preserve"> Ensures that the testing framework’s error reporting works correctly, and prepares the ground for real negative tests with invalid inputs or out-of-range access.</w:t>
            </w:r>
          </w:p>
        </w:tc>
      </w:tr>
      <w:tr w:rsidR="00A90EAD" w:rsidRPr="007D553D" w14:paraId="35903F49" w14:textId="77777777" w:rsidTr="007D553D">
        <w:trPr>
          <w:trHeight w:val="1296"/>
        </w:trPr>
        <w:tc>
          <w:tcPr>
            <w:tcW w:w="2115" w:type="dxa"/>
            <w:vAlign w:val="center"/>
          </w:tcPr>
          <w:p w14:paraId="78857076" w14:textId="2B3576BF" w:rsidR="00A90EAD" w:rsidRPr="007D553D" w:rsidRDefault="00097D00" w:rsidP="00A90EAD">
            <w:pPr>
              <w:suppressAutoHyphens/>
              <w:jc w:val="center"/>
              <w:rPr>
                <w:b/>
              </w:rPr>
            </w:pPr>
            <w:r>
              <w:rPr>
                <w:b/>
              </w:rPr>
              <w:t>12</w:t>
            </w:r>
          </w:p>
        </w:tc>
        <w:tc>
          <w:tcPr>
            <w:tcW w:w="7455" w:type="dxa"/>
          </w:tcPr>
          <w:p w14:paraId="302AEE1F" w14:textId="777C947F" w:rsidR="00A879A1" w:rsidRPr="00A879A1" w:rsidRDefault="00A879A1" w:rsidP="00A879A1">
            <w:pPr>
              <w:suppressAutoHyphens/>
              <w:rPr>
                <w:b/>
                <w:bCs/>
              </w:rPr>
            </w:pPr>
            <w:r w:rsidRPr="00A879A1">
              <w:rPr>
                <w:b/>
                <w:bCs/>
              </w:rPr>
              <w:t>What it does:</w:t>
            </w:r>
            <w:r>
              <w:rPr>
                <w:b/>
                <w:bCs/>
              </w:rPr>
              <w:t xml:space="preserve"> </w:t>
            </w:r>
            <w:r w:rsidRPr="00A879A1">
              <w:t>This test verifies that adding multiple values to a collection works correctly and that the collection’s size matches the number of added elements.</w:t>
            </w:r>
          </w:p>
          <w:p w14:paraId="32385135" w14:textId="35804229" w:rsidR="00A90EAD" w:rsidRPr="00A879A1" w:rsidRDefault="00A879A1" w:rsidP="00A90EAD">
            <w:pPr>
              <w:suppressAutoHyphens/>
              <w:rPr>
                <w:b/>
                <w:bCs/>
              </w:rPr>
            </w:pPr>
            <w:r w:rsidRPr="00A879A1">
              <w:rPr>
                <w:b/>
                <w:bCs/>
              </w:rPr>
              <w:t>Why:</w:t>
            </w:r>
            <w:r>
              <w:rPr>
                <w:b/>
                <w:bCs/>
              </w:rPr>
              <w:t xml:space="preserve"> </w:t>
            </w:r>
            <w:r w:rsidRPr="00A879A1">
              <w:t>It ensures data integrity by preventing lost or mishandled elements, confirming that the collection can correctly store and manage multiple items as expected.</w:t>
            </w:r>
          </w:p>
        </w:tc>
      </w:tr>
      <w:tr w:rsidR="00A90EAD" w:rsidRPr="007D553D" w14:paraId="2637279C" w14:textId="77777777" w:rsidTr="007D553D">
        <w:trPr>
          <w:trHeight w:val="1296"/>
        </w:trPr>
        <w:tc>
          <w:tcPr>
            <w:tcW w:w="2115" w:type="dxa"/>
            <w:vAlign w:val="center"/>
          </w:tcPr>
          <w:p w14:paraId="79D8B5F9" w14:textId="32CA4B29" w:rsidR="00A90EAD" w:rsidRPr="007D553D" w:rsidRDefault="00097D00" w:rsidP="00A90EAD">
            <w:pPr>
              <w:suppressAutoHyphens/>
              <w:jc w:val="center"/>
              <w:rPr>
                <w:b/>
              </w:rPr>
            </w:pPr>
            <w:r>
              <w:rPr>
                <w:b/>
              </w:rPr>
              <w:t>13</w:t>
            </w:r>
          </w:p>
        </w:tc>
        <w:tc>
          <w:tcPr>
            <w:tcW w:w="7455" w:type="dxa"/>
          </w:tcPr>
          <w:p w14:paraId="47523BAE" w14:textId="6680C0E9" w:rsidR="00BD2968" w:rsidRPr="00BD2968" w:rsidRDefault="00BD2968" w:rsidP="00BD2968">
            <w:pPr>
              <w:suppressAutoHyphens/>
            </w:pPr>
            <w:r w:rsidRPr="00BD2968">
              <w:rPr>
                <w:b/>
                <w:bCs/>
              </w:rPr>
              <w:t>What it does:</w:t>
            </w:r>
            <w:r>
              <w:rPr>
                <w:b/>
                <w:bCs/>
              </w:rPr>
              <w:t xml:space="preserve"> </w:t>
            </w:r>
            <w:r w:rsidRPr="00BD2968">
              <w:t>This test checks that accessing an invalid index in the collection triggers an exception, preventing out-of-bounds access.</w:t>
            </w:r>
          </w:p>
          <w:p w14:paraId="09CA053A" w14:textId="4ED689B2" w:rsidR="00A90EAD" w:rsidRPr="007D553D" w:rsidRDefault="00BD2968" w:rsidP="00A90EAD">
            <w:pPr>
              <w:suppressAutoHyphens/>
            </w:pPr>
            <w:r w:rsidRPr="00BD2968">
              <w:rPr>
                <w:b/>
                <w:bCs/>
              </w:rPr>
              <w:t>Why:</w:t>
            </w:r>
            <w:r>
              <w:rPr>
                <w:b/>
                <w:bCs/>
              </w:rPr>
              <w:t xml:space="preserve"> </w:t>
            </w:r>
            <w:r w:rsidRPr="00BD2968">
              <w:t>It enforces safe data access, protecting against crashes, undefined behavior, and potential security vulnerabilities from improper memory access.</w:t>
            </w:r>
          </w:p>
        </w:tc>
      </w:tr>
      <w:tr w:rsidR="00BD2968" w:rsidRPr="007D553D" w14:paraId="040861A0" w14:textId="77777777" w:rsidTr="007D553D">
        <w:trPr>
          <w:trHeight w:val="1296"/>
        </w:trPr>
        <w:tc>
          <w:tcPr>
            <w:tcW w:w="2115" w:type="dxa"/>
            <w:vAlign w:val="center"/>
          </w:tcPr>
          <w:p w14:paraId="2CF76596" w14:textId="53C6AB2C" w:rsidR="00BD2968" w:rsidRPr="007D553D" w:rsidRDefault="00BD2968" w:rsidP="00BD2968">
            <w:pPr>
              <w:suppressAutoHyphens/>
              <w:jc w:val="center"/>
              <w:rPr>
                <w:b/>
              </w:rPr>
            </w:pPr>
            <w:r>
              <w:rPr>
                <w:b/>
              </w:rPr>
              <w:t>14</w:t>
            </w:r>
          </w:p>
        </w:tc>
        <w:tc>
          <w:tcPr>
            <w:tcW w:w="7455" w:type="dxa"/>
          </w:tcPr>
          <w:p w14:paraId="2A010422" w14:textId="7014242A" w:rsidR="00BD2968" w:rsidRPr="007D553D" w:rsidRDefault="00BD2968" w:rsidP="00BD2968">
            <w:pPr>
              <w:suppressAutoHyphens/>
            </w:pPr>
            <w:r w:rsidRPr="006D7712">
              <w:t>Automation should be implemented at multiple stages. First, it must be integrated during pre-production verification and testing using static and dynamic analysis tools. Second, automation should run whenever the codebase requires analysis, such as during transitions or health checks. Additional automation can be applied at other stages as needed.</w:t>
            </w:r>
          </w:p>
        </w:tc>
      </w:tr>
      <w:tr w:rsidR="00BD2968" w:rsidRPr="007D553D" w14:paraId="37616630" w14:textId="77777777" w:rsidTr="007D553D">
        <w:trPr>
          <w:trHeight w:val="1296"/>
        </w:trPr>
        <w:tc>
          <w:tcPr>
            <w:tcW w:w="2115" w:type="dxa"/>
            <w:vAlign w:val="center"/>
          </w:tcPr>
          <w:p w14:paraId="5095DF5C" w14:textId="3E0920CC" w:rsidR="00BD2968" w:rsidRPr="007D553D" w:rsidRDefault="00BD2968" w:rsidP="00BD2968">
            <w:pPr>
              <w:suppressAutoHyphens/>
              <w:jc w:val="center"/>
              <w:rPr>
                <w:b/>
              </w:rPr>
            </w:pPr>
            <w:r>
              <w:rPr>
                <w:b/>
              </w:rPr>
              <w:t>15</w:t>
            </w:r>
          </w:p>
        </w:tc>
        <w:tc>
          <w:tcPr>
            <w:tcW w:w="7455" w:type="dxa"/>
          </w:tcPr>
          <w:p w14:paraId="20A6BB05" w14:textId="4A5EFDF2" w:rsidR="00BD2968" w:rsidRPr="007D553D" w:rsidRDefault="005566F7" w:rsidP="00BD2968">
            <w:pPr>
              <w:suppressAutoHyphens/>
            </w:pPr>
            <w:r w:rsidRPr="005566F7">
              <w:t>The Green Pace development pipeline uses a continuous DevSecOps cycle to embed security at every stage. External tools like CPPCheck, Clang-Tidy, and SonarQube perform static analysis to catch unsafe code and type issues early. Dynamic analysis and memory checks with Valgrind detect leaks and buffer overflows during testing. Security scanners such as Fortify and Veracode identify vulnerabilities like SQL injection and improper logging. These tools run throughout builds, unit testing, code transitions, and periodic checks to ensure compliance with coding standards and maintain secure software.</w:t>
            </w:r>
          </w:p>
        </w:tc>
      </w:tr>
      <w:tr w:rsidR="00BD2968" w:rsidRPr="007D553D" w14:paraId="58FD33E8" w14:textId="77777777" w:rsidTr="007D553D">
        <w:trPr>
          <w:trHeight w:val="1296"/>
        </w:trPr>
        <w:tc>
          <w:tcPr>
            <w:tcW w:w="2115" w:type="dxa"/>
            <w:vAlign w:val="center"/>
          </w:tcPr>
          <w:p w14:paraId="34C8D727" w14:textId="36A8E4F0" w:rsidR="00BD2968" w:rsidRDefault="00BD2968" w:rsidP="00BD2968">
            <w:pPr>
              <w:suppressAutoHyphens/>
              <w:jc w:val="center"/>
              <w:rPr>
                <w:b/>
              </w:rPr>
            </w:pPr>
            <w:r>
              <w:rPr>
                <w:b/>
              </w:rPr>
              <w:lastRenderedPageBreak/>
              <w:t>16</w:t>
            </w:r>
          </w:p>
        </w:tc>
        <w:tc>
          <w:tcPr>
            <w:tcW w:w="7455" w:type="dxa"/>
          </w:tcPr>
          <w:p w14:paraId="17F2CF08" w14:textId="55C354E6" w:rsidR="00BD2968" w:rsidRDefault="004E45A2" w:rsidP="00BD2968">
            <w:pPr>
              <w:suppressAutoHyphens/>
            </w:pPr>
            <w:r w:rsidRPr="004E45A2">
              <w:t>The main risks involve code and system vulnerabilities, including buffer overflows, SQL injection, unsafe memory usage, and inconsistent developer practices. Solutions include automated static and dynamic analysis tools, strict coding standards, encryption policies, and the Triple-A framework, all integrated into a continuous DevSecOps pipeline. Acting now reduces breaches, enforces defense-in-depth, and improves code quality, while delaying increases the risk of exposure or system compromise. Future steps should focus on runtime monitoring, automated remediation, ongoing staff training, maintaining unit tests, and expanding security coverage for concurrency, exceptions, and emerging threats.</w:t>
            </w:r>
          </w:p>
        </w:tc>
      </w:tr>
      <w:tr w:rsidR="00BD2968" w:rsidRPr="007D553D" w14:paraId="6FBDCAC8" w14:textId="77777777" w:rsidTr="007D553D">
        <w:trPr>
          <w:trHeight w:val="1296"/>
        </w:trPr>
        <w:tc>
          <w:tcPr>
            <w:tcW w:w="2115" w:type="dxa"/>
            <w:vAlign w:val="center"/>
          </w:tcPr>
          <w:p w14:paraId="6CB429A2" w14:textId="13880128" w:rsidR="00BD2968" w:rsidRDefault="00BD2968" w:rsidP="00BD2968">
            <w:pPr>
              <w:suppressAutoHyphens/>
              <w:jc w:val="center"/>
              <w:rPr>
                <w:b/>
              </w:rPr>
            </w:pPr>
            <w:r>
              <w:rPr>
                <w:b/>
              </w:rPr>
              <w:t>17</w:t>
            </w:r>
          </w:p>
        </w:tc>
        <w:tc>
          <w:tcPr>
            <w:tcW w:w="7455" w:type="dxa"/>
          </w:tcPr>
          <w:p w14:paraId="56AE1739" w14:textId="41CD0D46" w:rsidR="00BD2968" w:rsidRDefault="002F6CF7" w:rsidP="00BD2968">
            <w:pPr>
              <w:suppressAutoHyphens/>
            </w:pPr>
            <w:r w:rsidRPr="002F6CF7">
              <w:t>To maintain an effective security policy, teams must follow and update it as new threats emerge. Current gaps include lack of automated runtime monitoring, limited guidance for emerging threats like zero-day or AI-driven attacks, incomplete implementation of encryption in use, inconsistent developer training, and insufficient automated remediation. Following the principle of “Don’t leave security to the end,” security should be integrated at every development stage through input validation, compiler checks, secure architecture design, least-privilege enforcement, and automated unit testing, ensuring early vulnerability prevention and strong defense-in-depth.</w:t>
            </w:r>
          </w:p>
        </w:tc>
      </w:tr>
      <w:tr w:rsidR="00BD2968" w:rsidRPr="007D553D" w14:paraId="51CA0D52" w14:textId="77777777" w:rsidTr="007D553D">
        <w:trPr>
          <w:trHeight w:val="1296"/>
        </w:trPr>
        <w:tc>
          <w:tcPr>
            <w:tcW w:w="2115" w:type="dxa"/>
            <w:vAlign w:val="center"/>
          </w:tcPr>
          <w:p w14:paraId="21A257C0" w14:textId="438F6462" w:rsidR="00BD2968" w:rsidRDefault="00BD2968" w:rsidP="00BD2968">
            <w:pPr>
              <w:suppressAutoHyphens/>
              <w:jc w:val="center"/>
              <w:rPr>
                <w:b/>
              </w:rPr>
            </w:pPr>
            <w:r>
              <w:rPr>
                <w:b/>
              </w:rPr>
              <w:t>18</w:t>
            </w:r>
          </w:p>
        </w:tc>
        <w:tc>
          <w:tcPr>
            <w:tcW w:w="7455" w:type="dxa"/>
          </w:tcPr>
          <w:p w14:paraId="6C0D357E" w14:textId="27DE445C" w:rsidR="00BD2968" w:rsidRDefault="00BD2968" w:rsidP="00BD2968">
            <w:pPr>
              <w:suppressAutoHyphens/>
            </w:pPr>
            <w:r w:rsidRPr="00076159">
              <w:t>Green Pace has built a strong security policy foundation, but continuous improvement is essential to maintain resilience against evolving threats. Future steps should include expanding automated unit testing to cover new attack vectors, integrating continuous runtime monitoring to detect and respond to threats in real time, and regularly updating policies to reflect emerging technologies such as AI-driven systems. Ongoing developer training will reinforce secure coding practices, while adopting additional encryption standards and access controls will safeguard sensitive data during processing. These measures create a proactive, defense-in-depth strategy that embeds security into every stage of development, ensuring that vulnerabilities are addressed early, system integrity is maintained, and Green Pace remains prepared for future security challenges.</w:t>
            </w:r>
          </w:p>
        </w:tc>
      </w:tr>
      <w:tr w:rsidR="00BD2968" w:rsidRPr="007D553D" w14:paraId="18EA153B" w14:textId="77777777" w:rsidTr="007D553D">
        <w:trPr>
          <w:trHeight w:val="1296"/>
        </w:trPr>
        <w:tc>
          <w:tcPr>
            <w:tcW w:w="2115" w:type="dxa"/>
            <w:vAlign w:val="center"/>
          </w:tcPr>
          <w:p w14:paraId="09E783AB" w14:textId="0107A351" w:rsidR="00BD2968" w:rsidRDefault="00BD2968" w:rsidP="00BD2968">
            <w:pPr>
              <w:suppressAutoHyphens/>
              <w:jc w:val="center"/>
              <w:rPr>
                <w:b/>
              </w:rPr>
            </w:pPr>
            <w:r>
              <w:rPr>
                <w:b/>
              </w:rPr>
              <w:t>19</w:t>
            </w:r>
          </w:p>
        </w:tc>
        <w:tc>
          <w:tcPr>
            <w:tcW w:w="7455" w:type="dxa"/>
          </w:tcPr>
          <w:p w14:paraId="11B2F191" w14:textId="35A4A77C" w:rsidR="00BD2968" w:rsidRDefault="00BD2968" w:rsidP="00BD2968">
            <w:pPr>
              <w:suppressAutoHyphens/>
            </w:pPr>
            <w:r>
              <w:t>Be sure to look over the following references at your leisure.</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43A1A" w14:textId="77777777" w:rsidR="00BA5595" w:rsidRDefault="00BA5595" w:rsidP="007D553D">
      <w:pPr>
        <w:spacing w:after="0" w:line="240" w:lineRule="auto"/>
      </w:pPr>
      <w:r>
        <w:separator/>
      </w:r>
    </w:p>
  </w:endnote>
  <w:endnote w:type="continuationSeparator" w:id="0">
    <w:p w14:paraId="31903305" w14:textId="77777777" w:rsidR="00BA5595" w:rsidRDefault="00BA5595"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F52D8" w14:textId="77777777" w:rsidR="00BA5595" w:rsidRDefault="00BA5595" w:rsidP="007D553D">
      <w:pPr>
        <w:spacing w:after="0" w:line="240" w:lineRule="auto"/>
      </w:pPr>
      <w:r>
        <w:separator/>
      </w:r>
    </w:p>
  </w:footnote>
  <w:footnote w:type="continuationSeparator" w:id="0">
    <w:p w14:paraId="72FF0325" w14:textId="77777777" w:rsidR="00BA5595" w:rsidRDefault="00BA5595"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60604"/>
    <w:rsid w:val="000705DD"/>
    <w:rsid w:val="00076159"/>
    <w:rsid w:val="00097D00"/>
    <w:rsid w:val="00144D51"/>
    <w:rsid w:val="0015075B"/>
    <w:rsid w:val="00171DF1"/>
    <w:rsid w:val="00177915"/>
    <w:rsid w:val="001E6044"/>
    <w:rsid w:val="00283829"/>
    <w:rsid w:val="002918B4"/>
    <w:rsid w:val="002F58E6"/>
    <w:rsid w:val="002F6CF7"/>
    <w:rsid w:val="0032543C"/>
    <w:rsid w:val="00343E43"/>
    <w:rsid w:val="003463DD"/>
    <w:rsid w:val="003657AA"/>
    <w:rsid w:val="003E3D6E"/>
    <w:rsid w:val="00400810"/>
    <w:rsid w:val="00415FEF"/>
    <w:rsid w:val="00473CF2"/>
    <w:rsid w:val="004B2509"/>
    <w:rsid w:val="004E45A2"/>
    <w:rsid w:val="005214FC"/>
    <w:rsid w:val="005446CF"/>
    <w:rsid w:val="005566F7"/>
    <w:rsid w:val="005D2A2F"/>
    <w:rsid w:val="005F1446"/>
    <w:rsid w:val="006224BE"/>
    <w:rsid w:val="0067229E"/>
    <w:rsid w:val="0068380C"/>
    <w:rsid w:val="006D7712"/>
    <w:rsid w:val="006E1C46"/>
    <w:rsid w:val="0070537D"/>
    <w:rsid w:val="007168EF"/>
    <w:rsid w:val="0071750B"/>
    <w:rsid w:val="00747CD2"/>
    <w:rsid w:val="00765E71"/>
    <w:rsid w:val="007A185D"/>
    <w:rsid w:val="007D553D"/>
    <w:rsid w:val="00860269"/>
    <w:rsid w:val="008745A8"/>
    <w:rsid w:val="009926DC"/>
    <w:rsid w:val="009F41AB"/>
    <w:rsid w:val="00A352DF"/>
    <w:rsid w:val="00A611EF"/>
    <w:rsid w:val="00A879A1"/>
    <w:rsid w:val="00A90EAD"/>
    <w:rsid w:val="00A93272"/>
    <w:rsid w:val="00AA5ACD"/>
    <w:rsid w:val="00B44D01"/>
    <w:rsid w:val="00B501FA"/>
    <w:rsid w:val="00B550AC"/>
    <w:rsid w:val="00B55C76"/>
    <w:rsid w:val="00BA25B9"/>
    <w:rsid w:val="00BA5595"/>
    <w:rsid w:val="00BD2968"/>
    <w:rsid w:val="00BF3EDC"/>
    <w:rsid w:val="00C376E1"/>
    <w:rsid w:val="00C75773"/>
    <w:rsid w:val="00C77A7E"/>
    <w:rsid w:val="00D02C5B"/>
    <w:rsid w:val="00DD5FBB"/>
    <w:rsid w:val="00DE4FE6"/>
    <w:rsid w:val="00E054B7"/>
    <w:rsid w:val="00E33CBE"/>
    <w:rsid w:val="00E42C54"/>
    <w:rsid w:val="00EB2A50"/>
    <w:rsid w:val="00EB2CC8"/>
    <w:rsid w:val="00F03C9A"/>
    <w:rsid w:val="00F1153E"/>
    <w:rsid w:val="00F12C2B"/>
    <w:rsid w:val="00F56D30"/>
    <w:rsid w:val="00FB4126"/>
    <w:rsid w:val="00FC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4</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duane wegner</cp:lastModifiedBy>
  <cp:revision>63</cp:revision>
  <dcterms:created xsi:type="dcterms:W3CDTF">2025-08-17T19:30:00Z</dcterms:created>
  <dcterms:modified xsi:type="dcterms:W3CDTF">2025-08-18T01:44:00Z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