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DFS Cards — Master Operating Plan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Compiled 2026-09-15 from Duane’s own buying criteria, live eBay Seller Hub data (3,704 active listings, Sep 14 pull), and three uploaded strategy docs (Low-End Study Guide, High-End Portfolio Guide, Master Ops &amp; App Blueprint).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40" w:before="280"/>
      </w:pPr>
      <w:r>
        <w:t xml:space="preserve">The goal stack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Long-term: $30k gross / $8-9k profit per month — "an empire"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Near-term (Heather’s number): $1k/week net profit after inventory cost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Validated reference point: the low-end blueprint’s own real benchmark is $858/week net profit off ~3,266 items/year at a $14.64 average sale price — close enough to the $1k/week target that it’s a volume target, not a stretch goal.</w:t>
      </w:r>
    </w:p>
    <w:p>
      <w:pPr>
        <w:pStyle w:val="Heading1"/>
        <w:spacing w:after="140" w:before="280"/>
      </w:pPr>
      <w:r>
        <w:t xml:space="preserve">Where the business is starting from (Sep 14 pull)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3,704 active listings, $15,846 total listed value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1,671 listings (45%) are 90+ days old — $7,188 tied up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1,617 of those are priced under $10 — exactly the band with 2.2% sell-through, now clogging the store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882 listings are 180+ days old with zero watchers — dead, invisible inventory, $3,615 in current listed value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Clearance batch already built in The CardPulse folder: eBay_FileExchange_Revise_DeadStock_Clearance_2026-09-14.csv (862 listings, floored to $0.99/$1.99/$3.99 by tier) and DeadStock_ManualReview_HomeRuns_2026-09-14.csv (20 listings worth $10-54 each — good cards, numbered parallels and NIL rookies, dead from bad visibility, not bad pricing)</w:t>
      </w:r>
    </w:p>
    <w:p>
      <w:pPr>
        <w:pStyle w:val="Heading1"/>
        <w:spacing w:after="140" w:before="280"/>
      </w:pPr>
      <w:r>
        <w:t xml:space="preserve">The framework, reconciled across all three docs</w:t>
      </w:r>
    </w:p>
    <w:p>
      <w:pPr>
        <w:spacing w:after="160"/>
      </w:pPr>
      <w:r>
        <w:t xml:space="preserve">All three documents converge on the same underlying model at different scales: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600"/>
      </w:tblGrid>
      <w:t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Low-end doc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High-end doc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Ops blueprint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 tiers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Singles $1-3 / Doubles $4-6 / Triples $6-10 / Home Runs $10+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Tier 1 $100-500 / Tier 2 $500-1k / Tier 3 $1k-5k / Tier 4 $5k+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as low-end ("Piles")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Bucket split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Bucket A (dollar-bin volume) / Bucket B (curated premium)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idea at higher $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Folded into "Spectrum of Control"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Grading stance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Don't grade low-end yourself — buy already-graded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— avoids the PSA-7-comes-back-as-an-8 loss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2x Rule: submit only if est. PSA 10 value ≥ 2x (raw + fee); 1.5x if raw &gt; $500. Target 70% gem rate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Location tracking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Box/Row tag in description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"Two-Minute Rule"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Formal BRP tag, e.g. B4-R2-P10, in every listing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Sourcing discipline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$400 split across bulk/mixed/handcrafted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"Swag the floor," "shoot my offer," leverage stale showcase pricing, Card Ladder comp counters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search strings + "Typo Hunter" misspelled listings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liquidity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PSA Vault + "PSA Offers" — instant cash offer, zero seller fees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"Cut Bait" discipline — avoid the "eBay Museum" (overpricing to protect cost basis)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not to buy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Avoid cooling hype rookies (Zion, Ja Morant, Trey Young)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players named explicitly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95/5 Rule — 95% of liquidity sits in the top 5% of players/sets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This reconciles cleanly with your own existing buying rules (35% return target after eBay’s 14.4%, reject bulk "500 card" claims, no checklist = pass) — the docs just formalize the same instincts with sharper triggers.</w:t>
      </w:r>
    </w:p>
    <w:p>
      <w:pPr>
        <w:pStyle w:val="Heading1"/>
        <w:spacing w:after="140" w:before="280"/>
      </w:pPr>
      <w:r>
        <w:t xml:space="preserve">The plan — in order</w:t>
      </w:r>
    </w:p>
    <w:p>
      <w:pPr>
        <w:pStyle w:val="Heading2"/>
        <w:spacing w:after="140" w:before="280"/>
      </w:pPr>
      <w:r>
        <w:t xml:space="preserve">1. This week: clear the dead stock (already built, needs your go-ahead)</w:t>
      </w:r>
    </w:p>
    <w:p>
      <w:pPr>
        <w:spacing w:after="160"/>
      </w:pPr>
      <w:r>
        <w:t xml:space="preserve">Upload eBay_FileExchange_Revise_DeadStock_Clearance_2026-09-14.csv through Seller Hub → Reports → Uploads. That’s 862 listings ($3,178 in stale value) floored to move. Separately, rewrite titles on the 20 manual-review cards — those are legitimately good cards that are invisible for reasons other than price.</w:t>
      </w:r>
    </w:p>
    <w:p>
      <w:pPr>
        <w:pStyle w:val="Heading2"/>
        <w:spacing w:after="140" w:before="280"/>
      </w:pPr>
      <w:r>
        <w:t xml:space="preserve">2. Turn on combined shipping</w:t>
      </w:r>
    </w:p>
    <w:p>
      <w:pPr>
        <w:spacing w:after="160"/>
      </w:pPr>
      <w:r>
        <w:t xml:space="preserve">For the dollar-bin tier specifically. Every framework here depends on multi-card orders from single-collector buyers — that only happens if a second/third item is cheap to add to the cart.</w:t>
      </w:r>
    </w:p>
    <w:p>
      <w:pPr>
        <w:pStyle w:val="Heading2"/>
        <w:spacing w:after="140" w:before="280"/>
      </w:pPr>
      <w:r>
        <w:t xml:space="preserve">3. Adopt BRP location tags going forward</w:t>
      </w:r>
    </w:p>
    <w:p>
      <w:pPr>
        <w:spacing w:after="160"/>
      </w:pPr>
      <w:r>
        <w:t xml:space="preserve">Every new listing gets a B#-R#-P# tag appended to the description. This is what makes the clear-the-low-end-fast strategy sustainable once volume climbs back up — you can’t hand-search for a sold card in a few thousand listings.</w:t>
      </w:r>
    </w:p>
    <w:p>
      <w:pPr>
        <w:pStyle w:val="Heading2"/>
        <w:spacing w:after="140" w:before="280"/>
      </w:pPr>
      <w:r>
        <w:t xml:space="preserve">4. Apply the 2x/70% grading rule before submitting anything</w:t>
      </w:r>
    </w:p>
    <w:p>
      <w:pPr>
        <w:spacing w:after="160"/>
      </w:pPr>
      <w:r>
        <w:t xml:space="preserve">Don’t submit unless est. PSA 10 value ≥ 2x (raw + grading fee), 1.5x if raw cost exceeds $500. Track your actual gem rate — under 50% means tighten condition standards; over 90% means you’re being too conservative and should be buying rawer, cheaper stock.</w:t>
      </w:r>
    </w:p>
    <w:p>
      <w:pPr>
        <w:pStyle w:val="Heading2"/>
        <w:spacing w:after="140" w:before="280"/>
      </w:pPr>
      <w:r>
        <w:t xml:space="preserve">5. Keep buying across all bands, weighted toward $50+</w:t>
      </w:r>
    </w:p>
    <w:p>
      <w:pPr>
        <w:spacing w:after="160"/>
      </w:pPr>
      <w:r>
        <w:t xml:space="preserve">Use Boolean search strings and Typo Hunter searches to source cheaply on the low end (keeps the dollar-bin fed without paying full price), and apply the high-end doc’s negotiation tactics (firm "shoot my offer" pricing, leveraging stale showcase listings, Card Ladder comp counters) when buying $50+ lots or single cards, whether at shows or online.</w:t>
      </w:r>
    </w:p>
    <w:p>
      <w:pPr>
        <w:pStyle w:val="Heading2"/>
        <w:spacing w:after="140" w:before="280"/>
      </w:pPr>
      <w:r>
        <w:t xml:space="preserve">6. Use PSA Vault / PSA Offers for qualifying $50+ exits</w:t>
      </w:r>
    </w:p>
    <w:p>
      <w:pPr>
        <w:spacing w:after="160"/>
      </w:pPr>
      <w:r>
        <w:t xml:space="preserve">It removes shipping friction and seller fees entirely — worth it as the $50+ band grows, not worth it on $3 singles.</w:t>
      </w:r>
    </w:p>
    <w:p>
      <w:pPr>
        <w:pStyle w:val="Heading2"/>
        <w:spacing w:after="140" w:before="280"/>
      </w:pPr>
      <w:r>
        <w:t xml:space="preserve">7. Signature confirmation on every sale over $750</w:t>
      </w:r>
    </w:p>
    <w:p>
      <w:pPr>
        <w:spacing w:after="160"/>
      </w:pPr>
      <w:r>
        <w:t xml:space="preserve">Non-negotiable per the ops doc — matches standard eBay/PayPal seller-protection requirements.</w:t>
      </w:r>
    </w:p>
    <w:p>
      <w:pPr>
        <w:pStyle w:val="Heading1"/>
        <w:spacing w:after="140" w:before="280"/>
      </w:pPr>
      <w:r>
        <w:t xml:space="preserve">CardPulse implementation (build-forward, not urgent this week)</w:t>
      </w:r>
    </w:p>
    <w:p>
      <w:pPr>
        <w:spacing w:after="160"/>
      </w:pPr>
      <w:r>
        <w:t xml:space="preserve">The ops blueprint includes a JSON inventory schema splitting Cost Basis from Estimated Current Value (ECV) — worth adding as fields if CardPulse’s Purchases/Operations tables don’t already separate these (right now purchase_lots tracks cost but ECV/live valuation lives only in the Reprice Assistant’s session state, not persisted). It also includes a simple lot-evaluation function: a lot "strikes" (is worth buying) when its Home-Run-tier cards alone cover the total lot cost — a natural fit for dfs_buying.py as an automatic checklist item rather than mental math.</w:t>
      </w:r>
    </w:p>
    <w:p>
      <w:pPr>
        <w:pStyle w:val="Heading1"/>
        <w:spacing w:after="140" w:before="280"/>
      </w:pPr>
      <w:r>
        <w:t xml:space="preserve">What I need from you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Green light to upload the clearance CSV (or you want to review it in eBay first)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you want the 20 manual-review titles rewritten 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Whether the CardPulse schema/lot-evaluator additions are worth scheduling, or lower priority than clearance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2026-09-15T01:36:25.469Z</dcterms:created>
  <dcterms:modified xsi:type="dcterms:W3CDTF">2026-09-15T01:36:25.481Z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