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B4D87E">
      <w:pPr>
        <w:spacing w:after="40"/>
        <w:jc w:val="center"/>
        <w:rPr>
          <w:rFonts w:ascii="Arial" w:hAnsi="Arial" w:eastAsia="Arial" w:cs="Arial"/>
          <w:b/>
          <w:bCs/>
          <w:color w:val="1A1A1A"/>
          <w:sz w:val="44"/>
          <w:szCs w:val="44"/>
        </w:rPr>
      </w:pPr>
      <w:r>
        <w:rPr>
          <w:rFonts w:ascii="Arial" w:hAnsi="Arial" w:eastAsia="Arial" w:cs="Arial"/>
          <w:b/>
          <w:bCs/>
          <w:color w:val="1A1A1A"/>
          <w:sz w:val="44"/>
          <w:szCs w:val="44"/>
        </w:rPr>
        <w:drawing>
          <wp:inline distT="0" distB="0" distL="114300" distR="114300">
            <wp:extent cx="1310005" cy="1747520"/>
            <wp:effectExtent l="0" t="0" r="635" b="5080"/>
            <wp:docPr id="2" name="图片 2" descr="证件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证件照"/>
                    <pic:cNvPicPr>
                      <a:picLocks noChangeAspect="1"/>
                    </pic:cNvPicPr>
                  </pic:nvPicPr>
                  <pic:blipFill>
                    <a:blip r:embed="rId4"/>
                    <a:stretch>
                      <a:fillRect/>
                    </a:stretch>
                  </pic:blipFill>
                  <pic:spPr>
                    <a:xfrm>
                      <a:off x="0" y="0"/>
                      <a:ext cx="1310005" cy="1747520"/>
                    </a:xfrm>
                    <a:prstGeom prst="rect">
                      <a:avLst/>
                    </a:prstGeom>
                  </pic:spPr>
                </pic:pic>
              </a:graphicData>
            </a:graphic>
          </wp:inline>
        </w:drawing>
      </w:r>
    </w:p>
    <w:p w14:paraId="5503CCC7">
      <w:pPr>
        <w:spacing w:after="40"/>
        <w:jc w:val="center"/>
      </w:pPr>
      <w:r>
        <w:rPr>
          <w:rFonts w:ascii="Arial" w:hAnsi="Arial" w:eastAsia="Arial" w:cs="Arial"/>
          <w:b/>
          <w:bCs/>
          <w:color w:val="1A1A1A"/>
          <w:sz w:val="44"/>
          <w:szCs w:val="44"/>
        </w:rPr>
        <w:t>DUANYANYU</w:t>
      </w:r>
    </w:p>
    <w:p w14:paraId="43083F87">
      <w:pPr>
        <w:spacing w:after="40"/>
        <w:jc w:val="center"/>
      </w:pPr>
      <w:r>
        <w:rPr>
          <w:rFonts w:ascii="Arial" w:hAnsi="Arial" w:eastAsia="Arial" w:cs="Arial"/>
          <w:color w:val="666666"/>
          <w:sz w:val="22"/>
          <w:szCs w:val="22"/>
        </w:rPr>
        <w:t>段彦羽</w:t>
      </w:r>
    </w:p>
    <w:p w14:paraId="6140F695">
      <w:pPr>
        <w:spacing w:after="60"/>
        <w:jc w:val="center"/>
        <w:rPr>
          <w:rFonts w:hint="default" w:eastAsia="宋体"/>
          <w:lang w:val="en-US" w:eastAsia="zh-CN"/>
        </w:rPr>
      </w:pPr>
      <w:r>
        <w:rPr>
          <w:rFonts w:ascii="Arial" w:hAnsi="Arial" w:eastAsia="Arial" w:cs="Arial"/>
          <w:color w:val="666666"/>
          <w:sz w:val="18"/>
          <w:szCs w:val="18"/>
        </w:rPr>
        <w:t xml:space="preserve">男 | 23岁 | 深圳 | </w:t>
      </w:r>
      <w:r>
        <w:rPr>
          <w:rFonts w:ascii="Arial" w:hAnsi="Arial" w:eastAsia="Arial" w:cs="Arial"/>
          <w:color w:val="2E75B6"/>
          <w:sz w:val="18"/>
          <w:szCs w:val="18"/>
        </w:rPr>
        <w:t>424592383@qq.com</w:t>
      </w:r>
      <w:r>
        <w:rPr>
          <w:rFonts w:ascii="Arial" w:hAnsi="Arial" w:eastAsia="Arial" w:cs="Arial"/>
          <w:color w:val="666666"/>
          <w:sz w:val="18"/>
          <w:szCs w:val="18"/>
        </w:rPr>
        <w:t xml:space="preserve"> | 1</w:t>
      </w:r>
      <w:r>
        <w:rPr>
          <w:rFonts w:hint="eastAsia" w:eastAsia="宋体" w:cs="Arial"/>
          <w:color w:val="666666"/>
          <w:sz w:val="18"/>
          <w:szCs w:val="18"/>
          <w:lang w:val="en-US" w:eastAsia="zh-CN"/>
        </w:rPr>
        <w:t>3202935861</w:t>
      </w:r>
    </w:p>
    <w:p w14:paraId="57C54FE1">
      <w:pPr>
        <w:pBdr>
          <w:bottom w:val="single" w:color="2E75B6" w:sz="6" w:space="4"/>
        </w:pBdr>
        <w:spacing w:before="360" w:after="120"/>
        <w:rPr>
          <w:rFonts w:hint="eastAsia" w:eastAsia="宋体"/>
          <w:lang w:eastAsia="zh-CN"/>
        </w:rPr>
      </w:pPr>
      <w:r>
        <w:rPr>
          <w:rFonts w:ascii="Arial" w:hAnsi="Arial" w:eastAsia="Arial" w:cs="Arial"/>
          <w:b/>
          <w:bCs/>
          <w:color w:val="2E75B6"/>
          <w:sz w:val="26"/>
          <w:szCs w:val="26"/>
        </w:rPr>
        <w:t>PROFESSIONAL SUMMARY 个人</w:t>
      </w:r>
      <w:r>
        <w:rPr>
          <w:rFonts w:hint="eastAsia" w:eastAsia="宋体" w:cs="Arial"/>
          <w:b/>
          <w:bCs/>
          <w:color w:val="2E75B6"/>
          <w:sz w:val="26"/>
          <w:szCs w:val="26"/>
          <w:lang w:val="en-US" w:eastAsia="zh-CN"/>
        </w:rPr>
        <w:t>简介</w:t>
      </w:r>
    </w:p>
    <w:p w14:paraId="2CD41DEA">
      <w:pPr>
        <w:spacing w:after="40"/>
      </w:pPr>
      <w:r>
        <w:rPr>
          <w:rFonts w:ascii="Arial" w:hAnsi="Arial" w:eastAsia="Arial" w:cs="Arial"/>
          <w:color w:val="1A1A1A"/>
          <w:sz w:val="20"/>
          <w:szCs w:val="20"/>
        </w:rPr>
        <w:t>▶ 中文</w:t>
      </w:r>
    </w:p>
    <w:p w14:paraId="2D741DA1">
      <w:pPr>
        <w:spacing w:after="40"/>
        <w:rPr>
          <w:rFonts w:ascii="Arial" w:hAnsi="Arial" w:eastAsia="Arial" w:cs="Arial"/>
          <w:color w:val="1A1A1A"/>
          <w:sz w:val="20"/>
          <w:szCs w:val="20"/>
        </w:rPr>
      </w:pPr>
      <w:r>
        <w:rPr>
          <w:rFonts w:ascii="Arial" w:hAnsi="Arial" w:eastAsia="Arial" w:cs="Arial"/>
          <w:color w:val="1A1A1A"/>
          <w:sz w:val="20"/>
          <w:szCs w:val="20"/>
        </w:rPr>
        <w:t>211院校电子信息科学与技术本科，英语读写流畅。</w:t>
      </w:r>
    </w:p>
    <w:p w14:paraId="4C6138B7">
      <w:pPr>
        <w:spacing w:after="40"/>
      </w:pPr>
      <w:r>
        <w:rPr>
          <w:rFonts w:ascii="Arial" w:hAnsi="Arial" w:eastAsia="Arial" w:cs="Arial"/>
          <w:color w:val="1A1A1A"/>
          <w:sz w:val="20"/>
          <w:szCs w:val="20"/>
        </w:rPr>
        <w:t>1年B端自研硬件整机产品经验，在无产品经理岗位的行业环境中自驱完成跨部门协同、问题闭环驱动和测试验证策略设计——本质上承担了硬件PM的核心职能。擅长在硬件-固件-测试多层系统中定位问题根因，用数据而非意见推动跨职能团队达成共识。正在系统性构建 PM 方法论（PRD/WBS/敏捷开发），已完成从测试方案到标准 PRD 的改写及 Epic-Story 拆解实践。</w:t>
      </w:r>
    </w:p>
    <w:p w14:paraId="3ED748DF">
      <w:pPr>
        <w:spacing w:after="80"/>
      </w:pPr>
    </w:p>
    <w:p w14:paraId="7B2954FB">
      <w:pPr>
        <w:spacing w:after="40"/>
      </w:pPr>
      <w:r>
        <w:rPr>
          <w:rFonts w:ascii="Arial" w:hAnsi="Arial" w:eastAsia="Arial" w:cs="Arial"/>
          <w:color w:val="1A1A1A"/>
          <w:sz w:val="20"/>
          <w:szCs w:val="20"/>
        </w:rPr>
        <w:t>▶ English</w:t>
      </w:r>
    </w:p>
    <w:p w14:paraId="4ACF0049">
      <w:pPr>
        <w:spacing w:after="40"/>
      </w:pPr>
      <w:r>
        <w:rPr>
          <w:rFonts w:ascii="Arial" w:hAnsi="Arial" w:eastAsia="Arial" w:cs="Arial"/>
          <w:color w:val="1A1A1A"/>
          <w:sz w:val="20"/>
          <w:szCs w:val="20"/>
        </w:rPr>
        <w:t>B.S. in Electronic Information Science &amp; Technology from a Project 211 university. Fluent in written English. One year of experience with B2B in-house hardware products, where I took on cross-functional orchestration, issue-closure ownership, and test validation strategy design in an industry without a formal PM role—essentially performing the core functions of a Hardware PM. Skilled at tracing root causes across hardware-firmware-testing multi-layer systems and driving consensus through data rather than opinion. Actively building PM methodology proficiency (PRD, WBS, Agile/Scrum), having completed a test-report-to-PRD conversion and full Epic-Story breakdown exercise.</w:t>
      </w:r>
    </w:p>
    <w:p w14:paraId="7E1BAAF5">
      <w:pPr>
        <w:spacing w:after="40"/>
      </w:pPr>
    </w:p>
    <w:p w14:paraId="14D7DB66">
      <w:pPr>
        <w:spacing w:after="40"/>
      </w:pPr>
      <w:r>
        <w:rPr>
          <w:rFonts w:ascii="Arial" w:hAnsi="Arial" w:eastAsia="Arial" w:cs="Arial"/>
          <w:color w:val="1A1A1A"/>
          <w:sz w:val="20"/>
          <w:szCs w:val="20"/>
        </w:rPr>
        <w:t>▶</w:t>
      </w:r>
      <w:r>
        <w:rPr>
          <w:rFonts w:hint="eastAsia" w:ascii="Arial" w:hAnsi="Arial" w:eastAsia="宋体" w:cs="Arial"/>
          <w:color w:val="1A1A1A"/>
          <w:sz w:val="20"/>
          <w:szCs w:val="20"/>
          <w:lang w:val="en-US" w:eastAsia="zh-CN"/>
        </w:rPr>
        <w:t xml:space="preserve">我的个人基于 Mars 5 Ultra 公开用户反馈制作的研究作品集 </w:t>
      </w:r>
      <w:r>
        <w:rPr>
          <w:rFonts w:ascii="Arial" w:hAnsi="Arial" w:eastAsia="Arial" w:cs="Arial"/>
          <w:color w:val="1A1A1A"/>
          <w:sz w:val="20"/>
          <w:szCs w:val="20"/>
        </w:rPr>
        <w:t xml:space="preserve">: </w:t>
      </w:r>
      <w:r>
        <w:fldChar w:fldCharType="begin"/>
      </w:r>
      <w:r>
        <w:instrText xml:space="preserve"> HYPERLINK "https://github.com/Duanyayu/pm-portfolio" </w:instrText>
      </w:r>
      <w:r>
        <w:fldChar w:fldCharType="separate"/>
      </w:r>
      <w:r>
        <w:rPr>
          <w:rStyle w:val="14"/>
          <w:rFonts w:ascii="Arial" w:hAnsi="Arial" w:eastAsia="Arial" w:cs="Arial"/>
          <w:sz w:val="20"/>
          <w:szCs w:val="20"/>
        </w:rPr>
        <w:t>github.com/Duanyayu/pm-portfolio</w:t>
      </w:r>
      <w:r>
        <w:rPr>
          <w:rStyle w:val="14"/>
          <w:rFonts w:ascii="Arial" w:hAnsi="Arial" w:eastAsia="Arial" w:cs="Arial"/>
          <w:sz w:val="20"/>
          <w:szCs w:val="20"/>
        </w:rPr>
        <w:fldChar w:fldCharType="end"/>
      </w:r>
    </w:p>
    <w:p w14:paraId="5C63EFCB">
      <w:pPr>
        <w:pBdr>
          <w:bottom w:val="single" w:color="2E75B6" w:sz="6" w:space="4"/>
        </w:pBdr>
        <w:spacing w:before="360" w:after="120"/>
      </w:pPr>
      <w:r>
        <w:rPr>
          <w:rFonts w:ascii="Arial" w:hAnsi="Arial" w:eastAsia="Arial" w:cs="Arial"/>
          <w:b/>
          <w:bCs/>
          <w:color w:val="2E75B6"/>
          <w:sz w:val="26"/>
          <w:szCs w:val="26"/>
        </w:rPr>
        <w:t>WORK EXPERIENCE 工作经历</w:t>
      </w:r>
    </w:p>
    <w:p w14:paraId="6812D0DF">
      <w:pPr>
        <w:tabs>
          <w:tab w:val="right" w:pos="9026"/>
        </w:tabs>
        <w:spacing w:before="160" w:after="20"/>
      </w:pPr>
      <w:r>
        <w:rPr>
          <w:rFonts w:ascii="Arial" w:hAnsi="Arial" w:eastAsia="Arial" w:cs="Arial"/>
          <w:b/>
          <w:bCs/>
          <w:sz w:val="22"/>
          <w:szCs w:val="22"/>
        </w:rPr>
        <w:t>硬件测试工程师 | 中国航天科工集团有限公司</w:t>
      </w:r>
      <w:r>
        <w:rPr>
          <w:rFonts w:ascii="Arial" w:hAnsi="Arial" w:eastAsia="Arial" w:cs="Arial"/>
          <w:color w:val="666666"/>
          <w:sz w:val="20"/>
          <w:szCs w:val="20"/>
        </w:rPr>
        <w:tab/>
      </w:r>
      <w:r>
        <w:rPr>
          <w:rFonts w:ascii="Arial" w:hAnsi="Arial" w:eastAsia="Arial" w:cs="Arial"/>
          <w:color w:val="666666"/>
          <w:sz w:val="20"/>
          <w:szCs w:val="20"/>
        </w:rPr>
        <w:t>2025.06 - 至今</w:t>
      </w:r>
    </w:p>
    <w:p w14:paraId="1753BE3F">
      <w:pPr>
        <w:spacing w:after="60"/>
      </w:pPr>
      <w:r>
        <w:rPr>
          <w:rFonts w:ascii="Arial" w:hAnsi="Arial" w:eastAsia="Arial" w:cs="Arial"/>
          <w:i/>
          <w:iCs/>
          <w:color w:val="666666"/>
          <w:sz w:val="18"/>
          <w:szCs w:val="18"/>
        </w:rPr>
        <w:t>Hardware Test Engineer | China Aerospace Science &amp; Industry Corp.</w:t>
      </w:r>
    </w:p>
    <w:p w14:paraId="2A524598">
      <w:pPr>
        <w:pStyle w:val="16"/>
        <w:numPr>
          <w:ilvl w:val="0"/>
          <w:numId w:val="1"/>
        </w:numPr>
        <w:spacing w:after="40"/>
      </w:pPr>
      <w:r>
        <w:rPr>
          <w:rFonts w:ascii="Arial" w:hAnsi="Arial" w:eastAsia="Arial" w:cs="Arial"/>
          <w:color w:val="1A1A1A"/>
          <w:sz w:val="20"/>
          <w:szCs w:val="20"/>
        </w:rPr>
        <w:t>主导产品可靠性全流程测试策略设计，独立制定测试方案并搭建专业测试环境，覆盖电气性能及环境适应性检测，确保产品符合国家及行业质量标准 / Owned end-to-end reliability testing strategy—independently designed test plans, built testing environments, ensured compliance with national and industry quality standards</w:t>
      </w:r>
    </w:p>
    <w:p w14:paraId="40E7E386">
      <w:pPr>
        <w:pStyle w:val="16"/>
        <w:numPr>
          <w:ilvl w:val="0"/>
          <w:numId w:val="1"/>
        </w:numPr>
        <w:spacing w:after="40"/>
      </w:pPr>
      <w:r>
        <w:rPr>
          <w:rFonts w:ascii="Arial" w:hAnsi="Arial" w:eastAsia="Arial" w:cs="Arial"/>
          <w:color w:val="1A1A1A"/>
          <w:sz w:val="20"/>
          <w:szCs w:val="20"/>
        </w:rPr>
        <w:t>承担跨部门问题闭环推动角色，在硬件研发、嵌入式软件、测试之间建立标准化诊断流程——设计对照实验排除竞争性假设，以数据驱动各方达成根因共识 / Served as cross-functional issue-closure driver among HW R&amp;D, embedded SW, and testing—established standardized diagnostic workflow via controlled experiments</w:t>
      </w:r>
    </w:p>
    <w:p w14:paraId="65F4B61C">
      <w:pPr>
        <w:pStyle w:val="16"/>
        <w:numPr>
          <w:ilvl w:val="0"/>
          <w:numId w:val="1"/>
        </w:numPr>
        <w:spacing w:after="40"/>
      </w:pPr>
      <w:r>
        <w:rPr>
          <w:rFonts w:ascii="Arial" w:hAnsi="Arial" w:eastAsia="Arial" w:cs="Arial"/>
          <w:color w:val="1A1A1A"/>
          <w:sz w:val="20"/>
          <w:szCs w:val="20"/>
        </w:rPr>
        <w:t>深入研究国网/南网技术规范，将其转化为可执行的测试标准和验收条件，编制企业级技术标准文件8份 / Translated SGCC/CSG technical standards into test criteria and acceptance conditions, authored 8 enterprise-level standard documents</w:t>
      </w:r>
    </w:p>
    <w:p w14:paraId="71F71BA2">
      <w:pPr>
        <w:pStyle w:val="16"/>
        <w:numPr>
          <w:ilvl w:val="0"/>
          <w:numId w:val="1"/>
        </w:numPr>
        <w:spacing w:after="40"/>
      </w:pPr>
      <w:r>
        <w:rPr>
          <w:rFonts w:ascii="Arial" w:hAnsi="Arial" w:eastAsia="Arial" w:cs="Arial"/>
          <w:color w:val="1A1A1A"/>
          <w:sz w:val="20"/>
          <w:szCs w:val="20"/>
        </w:rPr>
        <w:t>推动质量管理体系建设，作为核心成员参与 CNAS 实验室认证，编制质量管理体系文件15份 / Core member of CNAS lab accreditation—produced 15 QMS documents</w:t>
      </w:r>
    </w:p>
    <w:p w14:paraId="78CCD017">
      <w:pPr>
        <w:pStyle w:val="16"/>
        <w:numPr>
          <w:ilvl w:val="0"/>
          <w:numId w:val="1"/>
        </w:numPr>
        <w:spacing w:after="40"/>
      </w:pPr>
      <w:r>
        <w:rPr>
          <w:rFonts w:ascii="Arial" w:hAnsi="Arial" w:eastAsia="Arial" w:cs="Arial"/>
          <w:color w:val="1A1A1A"/>
          <w:sz w:val="20"/>
          <w:szCs w:val="20"/>
        </w:rPr>
        <w:t>研究 EMC 测试中的干扰源定位，通过系统性分析辐射发射和传导发射数据提出整改方案并推动研发采纳 / Diagnosed EMC interference sources via systematic emission data analysis, drove R&amp;D adoption of corrective actions</w:t>
      </w:r>
    </w:p>
    <w:p w14:paraId="099A5537">
      <w:pPr>
        <w:spacing w:after="80"/>
      </w:pPr>
    </w:p>
    <w:p w14:paraId="596DC468">
      <w:pPr>
        <w:tabs>
          <w:tab w:val="right" w:pos="9026"/>
        </w:tabs>
        <w:spacing w:before="160" w:after="20"/>
      </w:pPr>
      <w:r>
        <w:rPr>
          <w:rFonts w:ascii="Arial" w:hAnsi="Arial" w:eastAsia="Arial" w:cs="Arial"/>
          <w:b/>
          <w:bCs/>
          <w:sz w:val="22"/>
          <w:szCs w:val="22"/>
        </w:rPr>
        <w:t>电气工程师</w:t>
      </w:r>
      <w:r>
        <w:rPr>
          <w:rFonts w:hint="eastAsia" w:eastAsia="宋体" w:cs="Arial"/>
          <w:b/>
          <w:bCs/>
          <w:sz w:val="22"/>
          <w:szCs w:val="22"/>
          <w:lang w:val="en-US" w:eastAsia="zh-CN"/>
        </w:rPr>
        <w:t>(实习)</w:t>
      </w:r>
      <w:r>
        <w:rPr>
          <w:rFonts w:ascii="Arial" w:hAnsi="Arial" w:eastAsia="Arial" w:cs="Arial"/>
          <w:b/>
          <w:bCs/>
          <w:sz w:val="22"/>
          <w:szCs w:val="22"/>
        </w:rPr>
        <w:t xml:space="preserve"> | 深圳沁园春科技有限公司</w:t>
      </w:r>
      <w:r>
        <w:rPr>
          <w:rFonts w:ascii="Arial" w:hAnsi="Arial" w:eastAsia="Arial" w:cs="Arial"/>
          <w:color w:val="666666"/>
          <w:sz w:val="20"/>
          <w:szCs w:val="20"/>
        </w:rPr>
        <w:tab/>
      </w:r>
      <w:r>
        <w:rPr>
          <w:rFonts w:ascii="Arial" w:hAnsi="Arial" w:eastAsia="Arial" w:cs="Arial"/>
          <w:color w:val="666666"/>
          <w:sz w:val="20"/>
          <w:szCs w:val="20"/>
        </w:rPr>
        <w:t>2025.03 - 2025.06</w:t>
      </w:r>
    </w:p>
    <w:p w14:paraId="483FD07A">
      <w:pPr>
        <w:spacing w:after="60"/>
      </w:pPr>
      <w:r>
        <w:rPr>
          <w:rFonts w:ascii="Arial" w:hAnsi="Arial" w:eastAsia="Arial" w:cs="Arial"/>
          <w:i/>
          <w:iCs/>
          <w:color w:val="666666"/>
          <w:sz w:val="18"/>
          <w:szCs w:val="18"/>
        </w:rPr>
        <w:t xml:space="preserve">Electrical Engineer </w:t>
      </w:r>
      <w:bookmarkStart w:id="0" w:name="_GoBack"/>
      <w:bookmarkEnd w:id="0"/>
      <w:r>
        <w:rPr>
          <w:rFonts w:ascii="Arial" w:hAnsi="Arial" w:eastAsia="Arial" w:cs="Arial"/>
          <w:i/>
          <w:iCs/>
          <w:color w:val="666666"/>
          <w:sz w:val="18"/>
          <w:szCs w:val="18"/>
        </w:rPr>
        <w:t xml:space="preserve"> | Shenzhen Qinyuanchun Technology Co., Ltd.</w:t>
      </w:r>
    </w:p>
    <w:p w14:paraId="076D2323">
      <w:pPr>
        <w:pStyle w:val="16"/>
        <w:numPr>
          <w:ilvl w:val="0"/>
          <w:numId w:val="1"/>
        </w:numPr>
        <w:spacing w:after="40"/>
      </w:pPr>
      <w:r>
        <w:rPr>
          <w:rFonts w:ascii="Arial" w:hAnsi="Arial" w:eastAsia="Arial" w:cs="Arial"/>
          <w:color w:val="1A1A1A"/>
          <w:sz w:val="20"/>
          <w:szCs w:val="20"/>
        </w:rPr>
        <w:t>协助电路设计及图纸绘制，参与设备调试与故障排查 / Assisted in circuit design, schematic drafting, equipment commissioning and troubleshooting</w:t>
      </w:r>
    </w:p>
    <w:p w14:paraId="4B4992E4">
      <w:pPr>
        <w:pStyle w:val="16"/>
        <w:numPr>
          <w:ilvl w:val="0"/>
          <w:numId w:val="1"/>
        </w:numPr>
        <w:spacing w:after="40"/>
      </w:pPr>
      <w:r>
        <w:rPr>
          <w:rFonts w:ascii="Arial" w:hAnsi="Arial" w:eastAsia="Arial" w:cs="Arial"/>
          <w:color w:val="1A1A1A"/>
          <w:sz w:val="20"/>
          <w:szCs w:val="20"/>
        </w:rPr>
        <w:t>负责技术文档整理及项目资料归档 / Managed technical documentation and project archive organization</w:t>
      </w:r>
    </w:p>
    <w:p w14:paraId="222D188F">
      <w:pPr>
        <w:pStyle w:val="16"/>
        <w:numPr>
          <w:ilvl w:val="0"/>
          <w:numId w:val="1"/>
        </w:numPr>
        <w:spacing w:after="40"/>
      </w:pPr>
      <w:r>
        <w:rPr>
          <w:rFonts w:ascii="Arial" w:hAnsi="Arial" w:eastAsia="Arial" w:cs="Arial"/>
          <w:color w:val="1A1A1A"/>
          <w:sz w:val="20"/>
          <w:szCs w:val="20"/>
        </w:rPr>
        <w:t>协助完成产品测试及性能分析 / Supported product testing and performance analysis</w:t>
      </w:r>
    </w:p>
    <w:p w14:paraId="65818397">
      <w:pPr>
        <w:pBdr>
          <w:bottom w:val="single" w:color="2E75B6" w:sz="6" w:space="4"/>
        </w:pBdr>
        <w:spacing w:before="360" w:after="120"/>
      </w:pPr>
      <w:r>
        <w:rPr>
          <w:rFonts w:ascii="Arial" w:hAnsi="Arial" w:eastAsia="Arial" w:cs="Arial"/>
          <w:b/>
          <w:bCs/>
          <w:color w:val="2E75B6"/>
          <w:sz w:val="26"/>
          <w:szCs w:val="26"/>
        </w:rPr>
        <w:t>CORE PM COMPETENCIES 核心能力</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26"/>
      </w:tblGrid>
      <w:tr w14:paraId="472F7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DDDDD" w:sz="0" w:space="0"/>
              <w:left w:val="single" w:color="DDDDDD" w:sz="0" w:space="0"/>
              <w:bottom w:val="single" w:color="DDDDDD" w:sz="0" w:space="0"/>
              <w:right w:val="single" w:color="DDDDDD" w:sz="0" w:space="0"/>
            </w:tcBorders>
            <w:shd w:val="clear" w:color="auto" w:fill="F5F8FC"/>
            <w:tcMar>
              <w:top w:w="60" w:type="dxa"/>
              <w:left w:w="100" w:type="dxa"/>
              <w:bottom w:w="60" w:type="dxa"/>
              <w:right w:w="100" w:type="dxa"/>
            </w:tcMar>
          </w:tcPr>
          <w:p w14:paraId="52173D18">
            <w:r>
              <w:rPr>
                <w:rFonts w:ascii="Arial" w:hAnsi="Arial" w:eastAsia="Arial" w:cs="Arial"/>
                <w:b/>
                <w:bCs/>
                <w:sz w:val="18"/>
                <w:szCs w:val="18"/>
              </w:rPr>
              <w:t>跨部门协同 / Cross-functional</w:t>
            </w:r>
          </w:p>
        </w:tc>
        <w:tc>
          <w:tcPr>
            <w:tcW w:w="6026" w:type="dxa"/>
            <w:tcBorders>
              <w:top w:val="single" w:color="DDDDDD" w:sz="0" w:space="0"/>
              <w:left w:val="single" w:color="DDDDDD" w:sz="0" w:space="0"/>
              <w:bottom w:val="single" w:color="DDDDDD" w:sz="0" w:space="0"/>
              <w:right w:val="single" w:color="DDDDDD" w:sz="0" w:space="0"/>
            </w:tcBorders>
            <w:shd w:val="clear" w:color="auto" w:fill="F5F8FC"/>
            <w:tcMar>
              <w:top w:w="60" w:type="dxa"/>
              <w:left w:w="100" w:type="dxa"/>
              <w:bottom w:w="60" w:type="dxa"/>
              <w:right w:w="100" w:type="dxa"/>
            </w:tcMar>
          </w:tcPr>
          <w:p w14:paraId="60AE5EF8">
            <w:r>
              <w:rPr>
                <w:rFonts w:ascii="Arial" w:hAnsi="Arial" w:eastAsia="Arial" w:cs="Arial"/>
                <w:sz w:val="18"/>
                <w:szCs w:val="18"/>
              </w:rPr>
              <w:t>在无 PM 环境中主动承担硬件-固件-测试-供应链的协调中枢，以对照实验驱动多方共识 /
Served as coordination hub among HW-FW-testing-supply chain in a PM-less environment, drove consensus via controlled experiments</w:t>
            </w:r>
          </w:p>
        </w:tc>
      </w:tr>
      <w:tr w14:paraId="4FF61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DDDDD" w:sz="0" w:space="0"/>
              <w:left w:val="single" w:color="DDDDDD" w:sz="0" w:space="0"/>
              <w:bottom w:val="single" w:color="DDDDDD" w:sz="0" w:space="0"/>
              <w:right w:val="single" w:color="DDDDDD" w:sz="0" w:space="0"/>
            </w:tcBorders>
            <w:tcMar>
              <w:top w:w="60" w:type="dxa"/>
              <w:left w:w="100" w:type="dxa"/>
              <w:bottom w:w="60" w:type="dxa"/>
              <w:right w:w="100" w:type="dxa"/>
            </w:tcMar>
          </w:tcPr>
          <w:p w14:paraId="79FA1E37">
            <w:r>
              <w:rPr>
                <w:rFonts w:ascii="Arial" w:hAnsi="Arial" w:eastAsia="Arial" w:cs="Arial"/>
                <w:b/>
                <w:bCs/>
                <w:sz w:val="18"/>
                <w:szCs w:val="18"/>
              </w:rPr>
              <w:t>敏捷/工具 / Agile &amp; Tools</w:t>
            </w:r>
          </w:p>
        </w:tc>
        <w:tc>
          <w:tcPr>
            <w:tcW w:w="6026" w:type="dxa"/>
            <w:tcBorders>
              <w:top w:val="single" w:color="DDDDDD" w:sz="0" w:space="0"/>
              <w:left w:val="single" w:color="DDDDDD" w:sz="0" w:space="0"/>
              <w:bottom w:val="single" w:color="DDDDDD" w:sz="0" w:space="0"/>
              <w:right w:val="single" w:color="DDDDDD" w:sz="0" w:space="0"/>
            </w:tcBorders>
            <w:tcMar>
              <w:top w:w="60" w:type="dxa"/>
              <w:left w:w="100" w:type="dxa"/>
              <w:bottom w:w="60" w:type="dxa"/>
              <w:right w:w="100" w:type="dxa"/>
            </w:tcMar>
          </w:tcPr>
          <w:p w14:paraId="5239FE68">
            <w:r>
              <w:rPr>
                <w:rFonts w:ascii="Arial" w:hAnsi="Arial" w:eastAsia="Arial" w:cs="Arial"/>
                <w:sz w:val="18"/>
                <w:szCs w:val="18"/>
              </w:rPr>
              <w:t>理解 Epic-Story-Sub-task 层级、Sprint 规划、看板管理；熟悉 Jira/Confluence 使用逻辑 /
Proficient in Epic-Story hierarchy, Sprint planning, Kanban management; experienced with Jira/Confluence workflows</w:t>
            </w:r>
          </w:p>
        </w:tc>
      </w:tr>
    </w:tbl>
    <w:p w14:paraId="4ECC810B">
      <w:pPr>
        <w:pBdr>
          <w:bottom w:val="single" w:color="2E75B6" w:sz="6" w:space="4"/>
        </w:pBdr>
        <w:spacing w:before="360" w:after="120"/>
      </w:pPr>
      <w:r>
        <w:rPr>
          <w:rFonts w:ascii="Arial" w:hAnsi="Arial" w:eastAsia="Arial" w:cs="Arial"/>
          <w:b/>
          <w:bCs/>
          <w:color w:val="2E75B6"/>
          <w:sz w:val="26"/>
          <w:szCs w:val="26"/>
        </w:rPr>
        <w:t>EDUCATION 教育经历</w:t>
      </w:r>
    </w:p>
    <w:p w14:paraId="38C21B24">
      <w:pPr>
        <w:tabs>
          <w:tab w:val="right" w:pos="9026"/>
        </w:tabs>
        <w:spacing w:before="120" w:after="20"/>
      </w:pPr>
      <w:r>
        <w:rPr>
          <w:rFonts w:ascii="Arial" w:hAnsi="Arial" w:eastAsia="Arial" w:cs="Arial"/>
          <w:b/>
          <w:bCs/>
          <w:sz w:val="22"/>
          <w:szCs w:val="22"/>
        </w:rPr>
        <w:t>华南师范大学 | 电子信息科学与技术 | 本科</w:t>
      </w:r>
      <w:r>
        <w:rPr>
          <w:rFonts w:ascii="Arial" w:hAnsi="Arial" w:eastAsia="Arial" w:cs="Arial"/>
          <w:color w:val="666666"/>
          <w:sz w:val="20"/>
          <w:szCs w:val="20"/>
        </w:rPr>
        <w:tab/>
      </w:r>
      <w:r>
        <w:rPr>
          <w:rFonts w:ascii="Arial" w:hAnsi="Arial" w:eastAsia="Arial" w:cs="Arial"/>
          <w:color w:val="666666"/>
          <w:sz w:val="20"/>
          <w:szCs w:val="20"/>
        </w:rPr>
        <w:t>2021 - 2025</w:t>
      </w:r>
    </w:p>
    <w:p w14:paraId="359D3B98">
      <w:pPr>
        <w:spacing w:after="40"/>
      </w:pPr>
      <w:r>
        <w:rPr>
          <w:rFonts w:ascii="Arial" w:hAnsi="Arial" w:eastAsia="Arial" w:cs="Arial"/>
          <w:i/>
          <w:iCs/>
          <w:color w:val="666666"/>
          <w:sz w:val="18"/>
          <w:szCs w:val="18"/>
        </w:rPr>
        <w:t>South China Normal University | B.S. Electronic Information Science &amp; Technology | 2021 - 2025</w:t>
      </w:r>
    </w:p>
    <w:p w14:paraId="3805097C">
      <w:pPr>
        <w:pBdr>
          <w:bottom w:val="single" w:color="2E75B6" w:sz="6" w:space="4"/>
        </w:pBdr>
        <w:spacing w:before="360" w:after="120"/>
      </w:pPr>
      <w:r>
        <w:rPr>
          <w:rFonts w:ascii="Arial" w:hAnsi="Arial" w:eastAsia="Arial" w:cs="Arial"/>
          <w:b/>
          <w:bCs/>
          <w:color w:val="2E75B6"/>
          <w:sz w:val="26"/>
          <w:szCs w:val="26"/>
        </w:rPr>
        <w:t>SKILLS 技能</w:t>
      </w:r>
    </w:p>
    <w:p w14:paraId="25E7C9DB">
      <w:pPr>
        <w:spacing w:after="40"/>
      </w:pPr>
      <w:r>
        <w:rPr>
          <w:rFonts w:ascii="Arial" w:hAnsi="Arial" w:eastAsia="Arial" w:cs="Arial"/>
          <w:color w:val="1A1A1A"/>
          <w:sz w:val="20"/>
          <w:szCs w:val="20"/>
        </w:rPr>
        <w:t>硬件: 电气性能测试 | EMC 测试 | 环境适应性测试 | 测试方案设计 | CNAS 质量管理体系</w:t>
      </w:r>
    </w:p>
    <w:p w14:paraId="17B333B7">
      <w:pPr>
        <w:spacing w:after="40"/>
      </w:pPr>
      <w:r>
        <w:rPr>
          <w:rFonts w:ascii="Arial" w:hAnsi="Arial" w:eastAsia="Arial" w:cs="Arial"/>
          <w:color w:val="1A1A1A"/>
          <w:sz w:val="20"/>
          <w:szCs w:val="20"/>
        </w:rPr>
        <w:t>PM: PRD 撰写 | WBS 任务拆解 | 用户洞察分析 | 敏捷 Sprint 规划 | 风险矩阵管理</w:t>
      </w:r>
    </w:p>
    <w:p w14:paraId="39D60EF2">
      <w:pPr>
        <w:spacing w:after="40"/>
      </w:pPr>
      <w:r>
        <w:rPr>
          <w:rFonts w:ascii="Arial" w:hAnsi="Arial" w:eastAsia="Arial" w:cs="Arial"/>
          <w:color w:val="1A1A1A"/>
          <w:sz w:val="20"/>
          <w:szCs w:val="20"/>
        </w:rPr>
        <w:t>工具: Jira | Confluence | Git | Markdown | 英语读写流畅</w:t>
      </w:r>
    </w:p>
    <w:sectPr>
      <w:pgSz w:w="11906" w:h="16838"/>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80" w:hanging="24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13E762FF"/>
    <w:rsid w:val="5A60015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Arial" w:cs="Arial"/>
      <w:sz w:val="20"/>
      <w:szCs w:val="20"/>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0"/>
      <w:szCs w:val="20"/>
    </w:rPr>
  </w:style>
  <w:style w:type="paragraph" w:styleId="6">
    <w:name w:val="heading 5"/>
    <w:next w:val="1"/>
    <w:qFormat/>
    <w:uiPriority w:val="0"/>
    <w:rPr>
      <w:rFonts w:ascii="Arial" w:hAnsi="Arial" w:eastAsia="Arial" w:cs="Arial"/>
      <w:color w:val="2E74B5"/>
      <w:sz w:val="20"/>
      <w:szCs w:val="20"/>
    </w:rPr>
  </w:style>
  <w:style w:type="paragraph" w:styleId="7">
    <w:name w:val="heading 6"/>
    <w:next w:val="1"/>
    <w:qFormat/>
    <w:uiPriority w:val="0"/>
    <w:rPr>
      <w:rFonts w:ascii="Arial" w:hAnsi="Arial" w:eastAsia="Arial" w:cs="Arial"/>
      <w:color w:val="1F4D78"/>
      <w:sz w:val="20"/>
      <w:szCs w:val="20"/>
    </w:rPr>
  </w:style>
  <w:style w:type="character" w:default="1" w:styleId="12">
    <w:name w:val="Default Paragraph Font"/>
    <w:semiHidden/>
    <w:qFormat/>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qFormat/>
    <w:uiPriority w:val="99"/>
    <w:pPr>
      <w:spacing w:after="0" w:line="240" w:lineRule="auto"/>
    </w:pPr>
    <w:rPr>
      <w:rFonts w:ascii="Arial" w:hAnsi="Arial" w:eastAsia="Arial" w:cs="Arial"/>
      <w:sz w:val="20"/>
      <w:szCs w:val="20"/>
    </w:rPr>
  </w:style>
  <w:style w:type="paragraph" w:styleId="9">
    <w:name w:val="footnote text"/>
    <w:link w:val="17"/>
    <w:semiHidden/>
    <w:unhideWhenUsed/>
    <w:qFormat/>
    <w:uiPriority w:val="99"/>
    <w:pPr>
      <w:spacing w:after="0" w:line="240" w:lineRule="auto"/>
    </w:pPr>
    <w:rPr>
      <w:rFonts w:ascii="Arial" w:hAnsi="Arial" w:eastAsia="Arial" w:cs="Arial"/>
      <w:sz w:val="20"/>
      <w:szCs w:val="20"/>
    </w:rPr>
  </w:style>
  <w:style w:type="paragraph" w:styleId="10">
    <w:name w:val="Title"/>
    <w:qFormat/>
    <w:uiPriority w:val="0"/>
    <w:rPr>
      <w:rFonts w:ascii="Arial" w:hAnsi="Arial" w:eastAsia="Arial" w:cs="Arial"/>
      <w:sz w:val="56"/>
      <w:szCs w:val="56"/>
    </w:rPr>
  </w:style>
  <w:style w:type="character" w:styleId="13">
    <w:name w:val="endnote reference"/>
    <w:semiHidden/>
    <w:unhideWhenUsed/>
    <w:qFormat/>
    <w:uiPriority w:val="99"/>
    <w:rPr>
      <w:vertAlign w:val="superscript"/>
    </w:rPr>
  </w:style>
  <w:style w:type="character" w:styleId="14">
    <w:name w:val="Hyperlink"/>
    <w:unhideWhenUsed/>
    <w:qFormat/>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Arial" w:hAnsi="Arial" w:eastAsia="Arial" w:cs="Arial"/>
      <w:sz w:val="20"/>
      <w:szCs w:val="20"/>
    </w:rPr>
  </w:style>
  <w:style w:type="character" w:customStyle="1" w:styleId="17">
    <w:name w:val="Footnote Text Char"/>
    <w:link w:val="9"/>
    <w:semiHidden/>
    <w:unhideWhenUsed/>
    <w:qFormat/>
    <w:uiPriority w:val="99"/>
    <w:rPr>
      <w:sz w:val="20"/>
      <w:szCs w:val="20"/>
    </w:rPr>
  </w:style>
  <w:style w:type="character" w:customStyle="1" w:styleId="18">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917</Words>
  <Characters>2596</Characters>
  <TotalTime>14</TotalTime>
  <ScaleCrop>false</ScaleCrop>
  <LinksUpToDate>false</LinksUpToDate>
  <CharactersWithSpaces>2892</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2026-05-11T14:55:00Z</dcterms:created>
  <dc:creator>Un-named</dc:creator>
  <cp:lastModifiedBy>嘎嘎嘎</cp:lastModifiedBy>
  <dcterms:modified xsi:type="dcterms:W3CDTF">2026-05-13T13:55:18Z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eyJoZGlkIjoiMDljM2U1YmNkNTYwNjRjZGIxMjQ3N2NmNzI0MWYxODAiLCJ1c2VySWQiOiI5MDkyMTIxOTUifQ==</vt:lpwstr>
  </property>
  <property fmtid="{D5CDD505-2E9C-101B-9397-08002B2CF9AE}" pid="3" name="KSOProductBuildVer">
    <vt:lpwstr>2052-12.1.0.25865</vt:lpwstr>
  </property>
  <property fmtid="{D5CDD505-2E9C-101B-9397-08002B2CF9AE}" pid="4" name="ICV">
    <vt:lpwstr>746AEA9135764B4E974C1D2D9389DB20_12</vt:lpwstr>
  </property>
</Properties>
</file>