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Pr>
          <w:lang w:val="pt-PT"/>
        </w:rPr>
        <w:t>oi</w:t>
      </w:r>
    </w:p>
    <w:p w14:paraId="797F85D8" w14:textId="37D0E99D" w:rsidR="009303D9" w:rsidRPr="009F27B1"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9F27B1">
        <w:rPr>
          <w:iCs/>
          <w:lang w:val="pt-PT"/>
        </w:rPr>
        <w:t xml:space="preserve">contagem celular, região de interesse (ROI), segmentação, </w:t>
      </w:r>
      <w:r w:rsidR="009F27B1">
        <w:rPr>
          <w:iCs/>
          <w:color w:val="FF0000"/>
          <w:lang w:val="pt-PT"/>
        </w:rPr>
        <w:t>outras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2BBE2175"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34077D">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F82E579"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w:t>
      </w:r>
      <w:r w:rsidR="0034077D">
        <w:rPr>
          <w:lang w:val="pt-PT"/>
        </w:rPr>
        <w:t xml:space="preserve"> [3]</w:t>
      </w:r>
      <w:r>
        <w:rPr>
          <w:lang w:val="pt-PT"/>
        </w:rPr>
        <w:t xml:space="preserve">, usando imagens obtidas por microscopia e por um hemacitómetro (dispositivo cuja área é conhecida, permitindo </w:t>
      </w:r>
      <w:r w:rsidR="0034077D">
        <w:rPr>
          <w:lang w:val="pt-PT"/>
        </w:rPr>
        <w:t>a contagem d</w:t>
      </w:r>
      <w:r>
        <w:rPr>
          <w:lang w:val="pt-PT"/>
        </w:rPr>
        <w:t>as células num volume específico de solução [</w:t>
      </w:r>
      <w:r w:rsidR="0034077D">
        <w:rPr>
          <w:lang w:val="pt-PT"/>
        </w:rPr>
        <w:t>4</w:t>
      </w:r>
      <w:r>
        <w:rPr>
          <w:lang w:val="pt-PT"/>
        </w:rPr>
        <w:t>]).</w:t>
      </w:r>
    </w:p>
    <w:p w14:paraId="44AF918E" w14:textId="5BDEFA47" w:rsidR="0034077D" w:rsidRDefault="0034077D" w:rsidP="000149C6">
      <w:pPr>
        <w:pStyle w:val="Corpodetexto"/>
        <w:spacing w:line="12pt" w:lineRule="auto"/>
        <w:rPr>
          <w:lang w:val="pt-PT"/>
        </w:rPr>
      </w:pPr>
      <w:r>
        <w:rPr>
          <w:lang w:val="pt-PT"/>
        </w:rPr>
        <w:t>Este processo consiste essencialmente em duas tarefas: o delineamento da região de interesse e a segmentação das células, seguida da sua contagem. A região de interesse, referida como ROI, é definida pelas linhas desenhadas pelo hemacitómetro.</w:t>
      </w:r>
    </w:p>
    <w:p w14:paraId="7C0A1359" w14:textId="32E72D8B" w:rsidR="009F27B1" w:rsidRPr="009F27B1" w:rsidRDefault="009F27B1" w:rsidP="000149C6">
      <w:pPr>
        <w:pStyle w:val="Corpodetexto"/>
        <w:spacing w:line="12pt" w:lineRule="auto"/>
        <w:rPr>
          <w:color w:val="FF0000"/>
          <w:lang w:val="pt-PT"/>
        </w:rPr>
      </w:pPr>
      <w:r>
        <w:rPr>
          <w:color w:val="FF0000"/>
          <w:lang w:val="pt-PT"/>
        </w:rPr>
        <w:t>Falar da base de dados.</w:t>
      </w:r>
    </w:p>
    <w:p w14:paraId="73BFFE8A" w14:textId="4C127B1E" w:rsidR="00A04624" w:rsidRPr="009F27B1" w:rsidRDefault="009F27B1" w:rsidP="000149C6">
      <w:pPr>
        <w:pStyle w:val="Corpodetexto"/>
        <w:spacing w:line="12pt" w:lineRule="auto"/>
        <w:rPr>
          <w:color w:val="FF0000"/>
          <w:lang w:val="pt-PT"/>
        </w:rPr>
      </w:pPr>
      <w:r>
        <w:rPr>
          <w:color w:val="FF0000"/>
          <w:lang w:val="pt-PT"/>
        </w:rPr>
        <w:t>Não estou inspirada.</w:t>
      </w:r>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de interesse, representando-a numa imagem binária como um retângulo branco em fundo preto.</w:t>
      </w:r>
    </w:p>
    <w:p w14:paraId="69E1030E" w14:textId="06ACBDAA"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 e determinar 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1C830B2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r w:rsidR="00D04110">
        <w:rPr>
          <w:lang w:val="pt-PT"/>
        </w:rPr>
        <w:t xml:space="preserve"> Ao avançar entre as imagens, são também mostradas numa figura em </w:t>
      </w:r>
      <w:proofErr w:type="spellStart"/>
      <w:r w:rsidR="00D04110">
        <w:rPr>
          <w:lang w:val="pt-PT"/>
        </w:rPr>
        <w:t>Matlab</w:t>
      </w:r>
      <w:proofErr w:type="spellEnd"/>
      <w:r w:rsidR="00D04110">
        <w:rPr>
          <w:lang w:val="pt-PT"/>
        </w:rPr>
        <w:t xml:space="preserve"> a imagem original sobreposta com a máscara obtida, a máscara </w:t>
      </w:r>
      <w:r w:rsidR="009F27B1">
        <w:rPr>
          <w:lang w:val="pt-PT"/>
        </w:rPr>
        <w:t>em separado</w:t>
      </w:r>
      <w:r w:rsidR="00D04110">
        <w:rPr>
          <w:lang w:val="pt-PT"/>
        </w:rPr>
        <w:t xml:space="preserve"> e os três valores obtidos.</w:t>
      </w:r>
    </w:p>
    <w:p w14:paraId="5120A00C" w14:textId="31E41118" w:rsidR="006E646C" w:rsidRPr="006E646C" w:rsidRDefault="00A4172E" w:rsidP="006E646C">
      <w:pPr>
        <w:pStyle w:val="Ttulo3"/>
        <w:rPr>
          <w:lang w:val="pt-PT"/>
        </w:rPr>
      </w:pPr>
      <w:r>
        <w:rPr>
          <w:lang w:val="pt-PT"/>
        </w:rPr>
        <w:t>Segmentação da ROI</w:t>
      </w:r>
    </w:p>
    <w:p w14:paraId="037DAAB9" w14:textId="3B567461"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F1EA9D4"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as três linhas,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lastRenderedPageBreak/>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1C97EBF0" w:rsidR="00D04110" w:rsidRDefault="00FE7822" w:rsidP="005F722A">
      <w:pPr>
        <w:pStyle w:val="Corpodetexto"/>
        <w:spacing w:line="12pt" w:lineRule="auto"/>
        <w:rPr>
          <w:lang w:val="pt-PT"/>
        </w:rPr>
      </w:pPr>
      <w:r w:rsidRPr="00534D15">
        <w:rPr>
          <w:noProof/>
          <w:lang w:val="pt-PT"/>
        </w:rPr>
        <w:drawing>
          <wp:anchor distT="45720" distB="45720" distL="114300" distR="114300" simplePos="0" relativeHeight="251667456" behindDoc="0" locked="0" layoutInCell="1" allowOverlap="1" wp14:anchorId="00218186" wp14:editId="1EB55E88">
            <wp:simplePos x="0" y="0"/>
            <wp:positionH relativeFrom="column">
              <wp:posOffset>3473046</wp:posOffset>
            </wp:positionH>
            <wp:positionV relativeFrom="paragraph">
              <wp:posOffset>616643</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Pr>
                            <w:color w:val="FF0000"/>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D04110">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é o </w:t>
      </w:r>
      <w:proofErr w:type="spellStart"/>
      <w:r w:rsidR="00D04110">
        <w:rPr>
          <w:i/>
          <w:iCs/>
          <w:lang w:val="pt-PT"/>
        </w:rPr>
        <w:t>ground</w:t>
      </w:r>
      <w:proofErr w:type="spellEnd"/>
      <w:r w:rsidR="00D04110">
        <w:rPr>
          <w:i/>
          <w:iCs/>
          <w:lang w:val="pt-PT"/>
        </w:rPr>
        <w:t xml:space="preserve"> </w:t>
      </w:r>
      <w:proofErr w:type="spellStart"/>
      <w:r w:rsidR="00D04110">
        <w:rPr>
          <w:i/>
          <w:iCs/>
          <w:lang w:val="pt-PT"/>
        </w:rPr>
        <w:t>truth</w:t>
      </w:r>
      <w:proofErr w:type="spellEnd"/>
      <w:r w:rsidR="00D04110">
        <w:rPr>
          <w:lang w:val="pt-PT"/>
        </w:rPr>
        <w:t>.</w:t>
      </w:r>
    </w:p>
    <w:p w14:paraId="28A29346" w14:textId="50EFDA56"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12A7109A" w:rsidR="00534D15" w:rsidRPr="003C6F2B" w:rsidRDefault="00534D15"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0AE9A7AF">
            <wp:simplePos x="0" y="0"/>
            <wp:positionH relativeFrom="column">
              <wp:posOffset>-69273</wp:posOffset>
            </wp:positionH>
            <wp:positionV relativeFrom="paragraph">
              <wp:posOffset>1988185</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7DE986C5">
            <wp:simplePos x="0" y="0"/>
            <wp:positionH relativeFrom="margin">
              <wp:posOffset>-8255</wp:posOffset>
            </wp:positionH>
            <wp:positionV relativeFrom="paragraph">
              <wp:posOffset>1221740</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sidR="003C6F2B">
        <w:rPr>
          <w:lang w:val="pt-PT"/>
        </w:rPr>
        <w:t xml:space="preserve">O cálculo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7F94EACC" w14:textId="1349B5C0" w:rsidR="00482F92" w:rsidRPr="002F1763" w:rsidRDefault="002F1763" w:rsidP="003C6F2B">
      <w:pPr>
        <w:pStyle w:val="Ttulo2"/>
        <w:rPr>
          <w:color w:val="FF0000"/>
          <w:lang w:val="pt-PT"/>
        </w:rPr>
      </w:pPr>
      <w:r>
        <w:rPr>
          <w:color w:val="FF0000"/>
          <w:lang w:val="pt-PT"/>
        </w:rPr>
        <w:t>Segmentação e Contagem Celular</w:t>
      </w:r>
    </w:p>
    <w:p w14:paraId="03528B60" w14:textId="197A264A" w:rsidR="00482F92" w:rsidRDefault="00482F92" w:rsidP="00482F92">
      <w:pPr>
        <w:rPr>
          <w:lang w:val="pt-PT"/>
        </w:rPr>
      </w:pPr>
    </w:p>
    <w:p w14:paraId="7E1B9835" w14:textId="03AB135B" w:rsidR="00FE7822" w:rsidRDefault="00FE7822" w:rsidP="00482F92">
      <w:pPr>
        <w:rPr>
          <w:lang w:val="pt-PT"/>
        </w:rPr>
      </w:pPr>
    </w:p>
    <w:p w14:paraId="55124553" w14:textId="38FA74FE" w:rsidR="00FE7822" w:rsidRDefault="00FE7822" w:rsidP="00482F92">
      <w:pPr>
        <w:rPr>
          <w:lang w:val="pt-PT"/>
        </w:rPr>
      </w:pPr>
    </w:p>
    <w:p w14:paraId="7B670711" w14:textId="3A870C5D" w:rsidR="00FE7822" w:rsidRDefault="00FE7822" w:rsidP="00482F92">
      <w:pPr>
        <w:rPr>
          <w:lang w:val="pt-PT"/>
        </w:rPr>
      </w:pPr>
    </w:p>
    <w:p w14:paraId="69F228EB" w14:textId="0A18B71C" w:rsidR="00FE7822" w:rsidRDefault="00FE7822" w:rsidP="00482F92">
      <w:pPr>
        <w:rPr>
          <w:lang w:val="pt-PT"/>
        </w:rPr>
      </w:pPr>
    </w:p>
    <w:p w14:paraId="71356AAF" w14:textId="294AC0A6" w:rsidR="00FE7822" w:rsidRDefault="00FE7822" w:rsidP="00482F92">
      <w:pPr>
        <w:rPr>
          <w:lang w:val="pt-PT"/>
        </w:rPr>
      </w:pPr>
    </w:p>
    <w:p w14:paraId="33CD6A8F" w14:textId="052A99F1" w:rsidR="00FE7822" w:rsidRPr="00482F92" w:rsidRDefault="00FE7822" w:rsidP="00482F92">
      <w:pPr>
        <w:rPr>
          <w:lang w:val="pt-PT"/>
        </w:rPr>
      </w:pPr>
    </w:p>
    <w:p w14:paraId="339794E6" w14:textId="38DB7DF0" w:rsidR="009303D9" w:rsidRDefault="000B7645" w:rsidP="006B6B66">
      <w:pPr>
        <w:pStyle w:val="Ttulo1"/>
      </w:pPr>
      <w:r>
        <w:t>Resultados e Discussão</w:t>
      </w:r>
    </w:p>
    <w:p w14:paraId="30654F65" w14:textId="1BF0764B" w:rsidR="009C4337" w:rsidRDefault="002F1763" w:rsidP="009C4337">
      <w:pPr>
        <w:pStyle w:val="Ttulo2"/>
        <w:rPr>
          <w:lang w:val="pt-PT"/>
        </w:rPr>
      </w:pPr>
      <w:r w:rsidRPr="00A04624">
        <w:rPr>
          <w:lang w:val="pt-PT"/>
        </w:rPr>
        <w:t>Delineamento da Região de I</w:t>
      </w:r>
      <w:r>
        <w:rPr>
          <w:lang w:val="pt-PT"/>
        </w:rPr>
        <w:t>nteresse (ROI)</w:t>
      </w:r>
    </w:p>
    <w:p w14:paraId="325246FD" w14:textId="6A05F57E" w:rsidR="00FE7822" w:rsidRDefault="00FE7822" w:rsidP="00FE7822">
      <w:pPr>
        <w:pStyle w:val="Ttulo2"/>
        <w:numPr>
          <w:ilvl w:val="0"/>
          <w:numId w:val="0"/>
        </w:numPr>
        <w:spacing w:before="0pt" w:after="6pt"/>
        <w:ind w:firstLine="14.45pt"/>
        <w:jc w:val="both"/>
        <w:rPr>
          <w:i w:val="0"/>
          <w:iCs w:val="0"/>
          <w:lang w:val="pt-PT"/>
        </w:rPr>
      </w:pPr>
      <w:r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Pr>
          <w:i w:val="0"/>
          <w:iCs w:val="0"/>
          <w:lang w:val="pt-PT"/>
        </w:rPr>
        <w:t xml:space="preserve">figura </w:t>
      </w:r>
      <w:r>
        <w:rPr>
          <w:i w:val="0"/>
          <w:iCs w:val="0"/>
          <w:color w:val="FF0000"/>
          <w:lang w:val="pt-PT"/>
        </w:rPr>
        <w:t>3</w:t>
      </w:r>
      <w:r w:rsidR="00534D15" w:rsidRPr="00FE7822">
        <w:rPr>
          <w:i w:val="0"/>
          <w:iCs w:val="0"/>
          <w:lang w:val="pt-PT"/>
        </w:rPr>
        <w:t>.</w:t>
      </w:r>
    </w:p>
    <w:p w14:paraId="68B32E8C" w14:textId="1B04ED94"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5B1A1069">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tbl>
      <w:tblPr>
        <w:tblStyle w:val="TabelacomGrelha"/>
        <w:tblpPr w:leftFromText="141" w:rightFromText="141" w:vertAnchor="text" w:horzAnchor="margin" w:tblpXSpec="right" w:tblpY="372"/>
        <w:tblW w:w="244pt" w:type="dxa"/>
        <w:tblLook w:firstRow="1" w:lastRow="0" w:firstColumn="1" w:lastColumn="0" w:noHBand="0" w:noVBand="1"/>
      </w:tblPr>
      <w:tblGrid>
        <w:gridCol w:w="1880"/>
        <w:gridCol w:w="1300"/>
        <w:gridCol w:w="1700"/>
      </w:tblGrid>
      <w:tr w:rsidR="00FE7822" w:rsidRPr="009C4337" w14:paraId="01CB3F76" w14:textId="77777777" w:rsidTr="00FE7822">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76059095" w14:textId="068603DB" w:rsidR="00FE7822" w:rsidRPr="009C4337" w:rsidRDefault="00FE7822" w:rsidP="00FE7822">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E8895DF" w14:textId="3801B76D"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8EA5BA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Desvio Padrão</w:t>
            </w:r>
          </w:p>
        </w:tc>
      </w:tr>
      <w:tr w:rsidR="00FE7822" w:rsidRPr="009C4337" w14:paraId="427624CB"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6D4E35E8"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C76ED48" w14:textId="0DDBD6E9"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979D892"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0,0003</w:t>
            </w:r>
          </w:p>
        </w:tc>
      </w:tr>
      <w:tr w:rsidR="00FE7822" w:rsidRPr="009C4337" w14:paraId="77CE3604"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496E4BB9"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75BD917" w14:textId="05E7511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9A41BE1"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2,2987</w:t>
            </w:r>
          </w:p>
        </w:tc>
      </w:tr>
      <w:tr w:rsidR="00FE7822" w:rsidRPr="009C4337" w14:paraId="5CDBADB7" w14:textId="77777777" w:rsidTr="00FE7822">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CFB28E5"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0A5CB355" w14:textId="4D71BA3E"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1588B10" w14:textId="77777777" w:rsidR="00FE7822" w:rsidRPr="009C4337" w:rsidRDefault="00FE7822" w:rsidP="00FE7822">
            <w:pPr>
              <w:rPr>
                <w:rFonts w:eastAsia="Times New Roman"/>
                <w:color w:val="000000"/>
                <w:lang w:val="pt-PT" w:eastAsia="pt-PT"/>
              </w:rPr>
            </w:pPr>
            <w:r w:rsidRPr="009C4337">
              <w:rPr>
                <w:rFonts w:eastAsia="Times New Roman"/>
                <w:color w:val="000000"/>
                <w:lang w:val="pt-PT" w:eastAsia="pt-PT"/>
              </w:rPr>
              <w:t>1,4376</w:t>
            </w:r>
          </w:p>
        </w:tc>
      </w:tr>
    </w:tbl>
    <w:p w14:paraId="2AD38313" w14:textId="3E92E7EC" w:rsidR="00FE7822" w:rsidRDefault="00FE7822" w:rsidP="009C4337">
      <w:pPr>
        <w:ind w:firstLine="14.45pt"/>
        <w:jc w:val="both"/>
        <w:rPr>
          <w:lang w:val="pt-PT"/>
        </w:rPr>
      </w:pPr>
    </w:p>
    <w:p w14:paraId="18F74E78" w14:textId="6A8CCF93" w:rsidR="009C4337" w:rsidRDefault="00FE7822" w:rsidP="00FE7822">
      <w:pPr>
        <w:ind w:firstLine="14.45pt"/>
        <w:jc w:val="both"/>
        <w:rPr>
          <w:lang w:val="pt-PT"/>
        </w:rPr>
      </w:pPr>
      <w:r>
        <w:rPr>
          <w:lang w:val="pt-PT"/>
        </w:rPr>
        <w:t xml:space="preserve">Quanto à similaridade, os valores de Jaccard são bastante elevados e muito constantes entre si (baixo desvio padrão), o que mostra que as ROI obtidas são muito significativas da ROI verdadeira. Quanto às distâncias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6A2DEF18"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E848C96" w:rsidR="000B7645" w:rsidRPr="005B234C" w:rsidRDefault="005B234C" w:rsidP="000B7645">
      <w:pPr>
        <w:pStyle w:val="references"/>
        <w:rPr>
          <w:lang w:val="pt-PT"/>
        </w:rPr>
      </w:pPr>
      <w:r>
        <w:lastRenderedPageBreak/>
        <w:t xml:space="preserve">“Cell Counting”. </w:t>
      </w:r>
      <w:r w:rsidRPr="005B234C">
        <w:rPr>
          <w:lang w:val="pt-PT"/>
        </w:rPr>
        <w:t xml:space="preserve">BioTek. </w:t>
      </w:r>
      <w:r>
        <w:rPr>
          <w:lang w:val="pt-PT"/>
        </w:rPr>
        <w:t xml:space="preserve">Acedido em: </w:t>
      </w:r>
      <w:hyperlink r:id="rId14" w:history="1">
        <w:r w:rsidR="00EC783D" w:rsidRPr="00EC783D">
          <w:rPr>
            <w:rStyle w:val="Hiperligao"/>
            <w:color w:val="auto"/>
            <w:u w:val="none"/>
            <w:lang w:val="pt-PT"/>
          </w:rPr>
          <w:t>https://www.biotek.pt/pt/applications/cell-counting.html</w:t>
        </w:r>
      </w:hyperlink>
    </w:p>
    <w:p w14:paraId="0D01CEED" w14:textId="0BB815C3" w:rsidR="0034077D" w:rsidRPr="005B234C" w:rsidRDefault="00A04624" w:rsidP="001F0DF2">
      <w:pPr>
        <w:pStyle w:val="references"/>
        <w:numPr>
          <w:ilvl w:val="0"/>
          <w:numId w:val="0"/>
        </w:numPr>
        <w:ind w:start="18pt" w:hanging="18pt"/>
        <w:rPr>
          <w:rStyle w:val="Hiperligao"/>
          <w:lang w:val="pt-PT"/>
        </w:rPr>
      </w:pPr>
      <w:r>
        <w:t xml:space="preserve">[2] </w:t>
      </w:r>
      <w:r w:rsidR="005B234C">
        <w:t xml:space="preserve">“Manual and Automated Cell Counting”. </w:t>
      </w:r>
      <w:r w:rsidR="005B234C" w:rsidRPr="005B234C">
        <w:rPr>
          <w:lang w:val="pt-PT"/>
        </w:rPr>
        <w:t xml:space="preserve">ISOGEN. </w:t>
      </w:r>
      <w:r w:rsidR="005B234C">
        <w:rPr>
          <w:lang w:val="pt-PT"/>
        </w:rPr>
        <w:t xml:space="preserve">Acedido em : </w:t>
      </w:r>
      <w:hyperlink r:id="rId15" w:history="1">
        <w:r w:rsidR="005B234C" w:rsidRPr="005B234C">
          <w:rPr>
            <w:rStyle w:val="Hiperligao"/>
            <w:color w:val="auto"/>
            <w:u w:val="none"/>
            <w:lang w:val="pt-PT"/>
          </w:rPr>
          <w:t>https://www.isogen-lifescience.com/laboratory-instruments/manual-and-automated-cell-counting.html?gclid=Cj0KCQjw-_j1BRDkARIsAJcfmTGK_n</w:t>
        </w:r>
        <w:r w:rsidR="005B234C" w:rsidRPr="005B234C">
          <w:rPr>
            <w:rStyle w:val="Hiperligao"/>
            <w:color w:val="auto"/>
            <w:u w:val="none"/>
            <w:lang w:val="pt-PT"/>
          </w:rPr>
          <w:t>S</w:t>
        </w:r>
        <w:r w:rsidR="005B234C" w:rsidRPr="005B234C">
          <w:rPr>
            <w:rStyle w:val="Hiperligao"/>
            <w:color w:val="auto"/>
            <w:u w:val="none"/>
            <w:lang w:val="pt-PT"/>
          </w:rPr>
          <w:t>FiITC5xxd7hRrY7MKzdKVuxc_k2eoW3gFTg99ebGAymeprA0aAqBNEALw_wcB</w:t>
        </w:r>
      </w:hyperlink>
    </w:p>
    <w:p w14:paraId="1641ACCE" w14:textId="365A31F9" w:rsidR="0034077D" w:rsidRPr="005B234C" w:rsidRDefault="0034077D" w:rsidP="001F0DF2">
      <w:pPr>
        <w:pStyle w:val="references"/>
        <w:numPr>
          <w:ilvl w:val="0"/>
          <w:numId w:val="0"/>
        </w:numPr>
        <w:ind w:start="18pt" w:hanging="18pt"/>
        <w:rPr>
          <w:color w:val="0000FF"/>
          <w:u w:val="single"/>
          <w:lang w:val="pt-PT"/>
        </w:rPr>
      </w:pPr>
      <w:r w:rsidRPr="0034077D">
        <w:rPr>
          <w:rStyle w:val="Hiperligao"/>
          <w:color w:val="auto"/>
          <w:u w:val="none"/>
        </w:rPr>
        <w:t>[3</w:t>
      </w:r>
      <w:r w:rsidRPr="00D50F29">
        <w:rPr>
          <w:rStyle w:val="Hiperligao"/>
          <w:color w:val="auto"/>
          <w:u w:val="none"/>
        </w:rPr>
        <w:t>]</w:t>
      </w:r>
      <w:r w:rsidR="005B234C">
        <w:rPr>
          <w:rStyle w:val="Hiperligao"/>
          <w:color w:val="auto"/>
          <w:u w:val="none"/>
        </w:rPr>
        <w:t xml:space="preserve"> </w:t>
      </w:r>
      <w:r w:rsidR="00D50F29" w:rsidRPr="00D50F29">
        <w:rPr>
          <w:rStyle w:val="Hiperligao"/>
          <w:color w:val="auto"/>
          <w:u w:val="none"/>
        </w:rPr>
        <w:t>Akin Ozkanet al., “Computer Vision based automated cell counting pipeline: a case study for HL60 cancer cell on hemocytometer”, Biomedical Research 2018; 29 (14): 2956-2962</w:t>
      </w:r>
      <w:r w:rsidR="00D50F29" w:rsidRPr="00D50F29">
        <w:rPr>
          <w:rStyle w:val="Hiperligao"/>
          <w:color w:val="auto"/>
          <w:u w:val="none"/>
        </w:rPr>
        <w:t xml:space="preserve">. </w:t>
      </w:r>
      <w:r w:rsidR="00D50F29" w:rsidRPr="005B234C">
        <w:rPr>
          <w:rStyle w:val="Hiperligao"/>
          <w:color w:val="auto"/>
          <w:u w:val="none"/>
          <w:lang w:val="pt-PT"/>
        </w:rPr>
        <w:t xml:space="preserve">Acedido em: </w:t>
      </w:r>
      <w:hyperlink r:id="rId16" w:history="1">
        <w:r w:rsidR="00D50F29" w:rsidRPr="005B234C">
          <w:rPr>
            <w:rStyle w:val="Hiperligao"/>
            <w:color w:val="auto"/>
            <w:u w:val="none"/>
            <w:lang w:val="pt-PT"/>
          </w:rPr>
          <w:t>https://pdfs.semanticscholar.org/c35c/1fb16bf42dfd3f8cb9bd9c54240c92b77fd7.pdf</w:t>
        </w:r>
      </w:hyperlink>
    </w:p>
    <w:p w14:paraId="134EC304" w14:textId="0F076B24" w:rsidR="00A04624" w:rsidRPr="005B234C" w:rsidRDefault="00A04624" w:rsidP="001F0DF2">
      <w:pPr>
        <w:pStyle w:val="references"/>
        <w:numPr>
          <w:ilvl w:val="0"/>
          <w:numId w:val="0"/>
        </w:numPr>
        <w:ind w:start="18pt" w:hanging="18pt"/>
        <w:rPr>
          <w:lang w:val="pt-PT"/>
        </w:rPr>
        <w:sectPr w:rsidR="00A04624" w:rsidRPr="005B234C" w:rsidSect="00C919A4">
          <w:type w:val="continuous"/>
          <w:pgSz w:w="612pt" w:h="792pt" w:code="1"/>
          <w:pgMar w:top="54pt" w:right="45.35pt" w:bottom="72pt" w:left="45.35pt" w:header="36pt" w:footer="36pt" w:gutter="0pt"/>
          <w:cols w:num="2" w:space="18pt"/>
          <w:docGrid w:linePitch="360"/>
        </w:sectPr>
      </w:pPr>
      <w:r w:rsidRPr="005B234C">
        <w:rPr>
          <w:lang w:val="en-GB"/>
        </w:rPr>
        <w:t>[</w:t>
      </w:r>
      <w:r w:rsidR="005B234C">
        <w:rPr>
          <w:lang w:val="en-GB"/>
        </w:rPr>
        <w:t xml:space="preserve">4] Yevgeniy Grigoryev. </w:t>
      </w:r>
      <w:r w:rsidR="005B234C" w:rsidRPr="005B234C">
        <w:rPr>
          <w:lang w:val="en-GB"/>
        </w:rPr>
        <w:t xml:space="preserve">“Cell </w:t>
      </w:r>
      <w:r w:rsidR="005B234C">
        <w:rPr>
          <w:lang w:val="en-GB"/>
        </w:rPr>
        <w:t xml:space="preserve">Counting with a Hemocytometer: Easy as 1, 2, 3”. </w:t>
      </w:r>
      <w:r w:rsidR="005B234C" w:rsidRPr="005B234C">
        <w:rPr>
          <w:lang w:val="en-GB"/>
        </w:rPr>
        <w:t>Bite</w:t>
      </w:r>
      <w:r w:rsidR="005B234C">
        <w:rPr>
          <w:lang w:val="en-GB"/>
        </w:rPr>
        <w:t xml:space="preserve">Size Bio. </w:t>
      </w:r>
      <w:r w:rsidR="005B234C" w:rsidRPr="005B234C">
        <w:rPr>
          <w:lang w:val="pt-PT"/>
        </w:rPr>
        <w:t>Publicad</w:t>
      </w:r>
      <w:r w:rsidR="005B234C">
        <w:rPr>
          <w:lang w:val="pt-PT"/>
        </w:rPr>
        <w:t xml:space="preserve">o em dezembro 2014. </w:t>
      </w:r>
      <w:r w:rsidR="005B234C" w:rsidRPr="005B234C">
        <w:rPr>
          <w:lang w:val="pt-PT"/>
        </w:rPr>
        <w:t>Acedid</w:t>
      </w:r>
      <w:r w:rsidR="005B234C">
        <w:rPr>
          <w:lang w:val="pt-PT"/>
        </w:rPr>
        <w:t>o em:</w:t>
      </w:r>
      <w:r w:rsidR="005B234C" w:rsidRPr="005B234C">
        <w:rPr>
          <w:lang w:val="pt-PT"/>
        </w:rPr>
        <w:t xml:space="preserve"> </w:t>
      </w:r>
      <w:hyperlink r:id="rId17" w:history="1">
        <w:r w:rsidR="005B234C" w:rsidRPr="005B234C">
          <w:rPr>
            <w:rStyle w:val="Hiperligao"/>
            <w:color w:val="auto"/>
            <w:u w:val="none"/>
            <w:lang w:val="pt-PT"/>
          </w:rPr>
          <w:t>https://bitesizebio.com/13687/cell-counting-with-a-hemocytometer-easy-as-1-2-</w:t>
        </w:r>
        <w:r w:rsidR="005B234C" w:rsidRPr="005B234C">
          <w:rPr>
            <w:rStyle w:val="Hiperligao"/>
            <w:color w:val="auto"/>
            <w:u w:val="none"/>
            <w:lang w:val="pt-PT"/>
          </w:rPr>
          <w:t>3</w:t>
        </w:r>
        <w:r w:rsidR="005B234C" w:rsidRPr="005B234C">
          <w:rPr>
            <w:rStyle w:val="Hiperligao"/>
            <w:color w:val="auto"/>
            <w:u w:val="none"/>
            <w:lang w:val="pt-PT"/>
          </w:rPr>
          <w:t>/</w:t>
        </w:r>
      </w:hyperlink>
    </w:p>
    <w:p w14:paraId="4F9C37DC" w14:textId="6C9CEB93" w:rsidR="009303D9" w:rsidRPr="005B234C" w:rsidRDefault="009303D9" w:rsidP="001F0DF2">
      <w:pPr>
        <w:rPr>
          <w:color w:val="FF0000"/>
          <w:lang w:val="pt-PT"/>
        </w:rPr>
      </w:pPr>
    </w:p>
    <w:sectPr w:rsidR="009303D9" w:rsidRPr="005B234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808EAE0" w14:textId="77777777" w:rsidR="00F53561" w:rsidRDefault="00F53561" w:rsidP="001A3B3D">
      <w:r>
        <w:separator/>
      </w:r>
    </w:p>
  </w:endnote>
  <w:endnote w:type="continuationSeparator" w:id="0">
    <w:p w14:paraId="3D2D53C2" w14:textId="77777777" w:rsidR="00F53561" w:rsidRDefault="00F535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F8609DF" w14:textId="77777777" w:rsidR="00F53561" w:rsidRDefault="00F53561" w:rsidP="001A3B3D">
      <w:r>
        <w:separator/>
      </w:r>
    </w:p>
  </w:footnote>
  <w:footnote w:type="continuationSeparator" w:id="0">
    <w:p w14:paraId="28BC167E" w14:textId="77777777" w:rsidR="00F53561" w:rsidRDefault="00F535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9C6"/>
    <w:rsid w:val="0004781E"/>
    <w:rsid w:val="0008758A"/>
    <w:rsid w:val="000B7645"/>
    <w:rsid w:val="000C1E68"/>
    <w:rsid w:val="0015079E"/>
    <w:rsid w:val="0016296B"/>
    <w:rsid w:val="001A2EFD"/>
    <w:rsid w:val="001A3B3D"/>
    <w:rsid w:val="001A42EA"/>
    <w:rsid w:val="001B67DC"/>
    <w:rsid w:val="001D7BCF"/>
    <w:rsid w:val="001F0DF2"/>
    <w:rsid w:val="002254A9"/>
    <w:rsid w:val="00233D97"/>
    <w:rsid w:val="002850E3"/>
    <w:rsid w:val="002F1763"/>
    <w:rsid w:val="0034077D"/>
    <w:rsid w:val="00354FCF"/>
    <w:rsid w:val="003A19E2"/>
    <w:rsid w:val="003C4031"/>
    <w:rsid w:val="003C6F2B"/>
    <w:rsid w:val="003F7220"/>
    <w:rsid w:val="00421EC6"/>
    <w:rsid w:val="004325FB"/>
    <w:rsid w:val="004432BA"/>
    <w:rsid w:val="0044407E"/>
    <w:rsid w:val="00482F92"/>
    <w:rsid w:val="004D72B5"/>
    <w:rsid w:val="00534D15"/>
    <w:rsid w:val="00547E73"/>
    <w:rsid w:val="00551B7F"/>
    <w:rsid w:val="0056610F"/>
    <w:rsid w:val="00575BCA"/>
    <w:rsid w:val="005B0344"/>
    <w:rsid w:val="005B234C"/>
    <w:rsid w:val="005B520E"/>
    <w:rsid w:val="005E2800"/>
    <w:rsid w:val="005E608C"/>
    <w:rsid w:val="005F722A"/>
    <w:rsid w:val="006347CF"/>
    <w:rsid w:val="00645D22"/>
    <w:rsid w:val="00651A08"/>
    <w:rsid w:val="00654204"/>
    <w:rsid w:val="00670434"/>
    <w:rsid w:val="006B6B66"/>
    <w:rsid w:val="006E646C"/>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976D8"/>
    <w:rsid w:val="009C4337"/>
    <w:rsid w:val="009F27B1"/>
    <w:rsid w:val="00A04624"/>
    <w:rsid w:val="00A059B3"/>
    <w:rsid w:val="00A4172E"/>
    <w:rsid w:val="00A52949"/>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F4916"/>
    <w:rsid w:val="00D04110"/>
    <w:rsid w:val="00D13749"/>
    <w:rsid w:val="00D2176E"/>
    <w:rsid w:val="00D4484C"/>
    <w:rsid w:val="00D50F29"/>
    <w:rsid w:val="00D632BE"/>
    <w:rsid w:val="00D72D06"/>
    <w:rsid w:val="00D7522C"/>
    <w:rsid w:val="00D7536F"/>
    <w:rsid w:val="00D76668"/>
    <w:rsid w:val="00D97446"/>
    <w:rsid w:val="00E61E12"/>
    <w:rsid w:val="00E7596C"/>
    <w:rsid w:val="00E878F2"/>
    <w:rsid w:val="00EA4895"/>
    <w:rsid w:val="00EC783D"/>
    <w:rsid w:val="00ED0149"/>
    <w:rsid w:val="00ED7FF2"/>
    <w:rsid w:val="00EF7DE3"/>
    <w:rsid w:val="00F03103"/>
    <w:rsid w:val="00F271DE"/>
    <w:rsid w:val="00F53561"/>
    <w:rsid w:val="00F627DA"/>
    <w:rsid w:val="00F7288F"/>
    <w:rsid w:val="00F847A6"/>
    <w:rsid w:val="00F9441B"/>
    <w:rsid w:val="00F96569"/>
    <w:rsid w:val="00FA4C32"/>
    <w:rsid w:val="00FE67A8"/>
    <w:rsid w:val="00FE7114"/>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iperligaovisitada">
    <w:name w:val="FollowedHyperlink"/>
    <w:basedOn w:val="Tipodeletrapredefinidodopargrafo"/>
    <w:rsid w:val="005B234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 w:id="10687272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bitesizebio.com/13687/cell-counting-with-a-hemocytometer-easy-as-1-2-3/" TargetMode="External"/><Relationship Id="rId2" Type="http://purl.oclc.org/ooxml/officeDocument/relationships/numbering" Target="numbering.xml"/><Relationship Id="rId16" Type="http://purl.oclc.org/ooxml/officeDocument/relationships/hyperlink" Target="https://pdfs.semanticscholar.org/c35c/1fb16bf42dfd3f8cb9bd9c54240c92b77fd7.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www.isogen-lifescience.com/laboratory-instruments/manual-and-automated-cell-counting.html?gclid=Cj0KCQjw-_j1BRDkARIsAJcfmTGK_nSFiITC5xxd7hRrY7MKzdKVuxc_k2eoW3gFTg99ebGAymeprA0aAqBNEALw_wcB" TargetMode="External"/><Relationship Id="rId10" Type="http://purl.oclc.org/ooxml/officeDocument/relationships/footer" Target="footer1.xm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hyperlink" Target="https://www.biotek.pt/pt/applications/cell-counting.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99CE1DD-8572-46D9-8206-B9229F13AFE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349</TotalTime>
  <Pages>3</Pages>
  <Words>1370</Words>
  <Characters>7398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13</cp:revision>
  <dcterms:created xsi:type="dcterms:W3CDTF">2020-05-15T17:28:00Z</dcterms:created>
  <dcterms:modified xsi:type="dcterms:W3CDTF">2020-05-18T17:45:00Z</dcterms:modified>
</cp:coreProperties>
</file>