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0AC30" w14:textId="77777777" w:rsidR="005E1739" w:rsidRPr="000F6356" w:rsidRDefault="005E1739" w:rsidP="000F6356">
      <w:pPr>
        <w:pStyle w:val="Heading1"/>
        <w:spacing w:after="120"/>
        <w:ind w:left="431" w:hanging="431"/>
        <w:rPr>
          <w:color w:val="auto"/>
        </w:rPr>
      </w:pPr>
      <w:bookmarkStart w:id="0" w:name="_Toc116466045"/>
      <w:bookmarkStart w:id="1" w:name="_Toc508898021"/>
      <w:r w:rsidRPr="000F6356">
        <w:rPr>
          <w:color w:val="auto"/>
        </w:rPr>
        <w:t>Purpose</w:t>
      </w:r>
      <w:bookmarkEnd w:id="0"/>
    </w:p>
    <w:p w14:paraId="1A1A7ED0" w14:textId="086A3FF8" w:rsidR="005E1739" w:rsidRPr="00DC7417" w:rsidRDefault="005E1739" w:rsidP="007D266A">
      <w:pPr>
        <w:jc w:val="both"/>
      </w:pPr>
      <w:r>
        <w:t xml:space="preserve">The purpose of this </w:t>
      </w:r>
      <w:r w:rsidRPr="00DC7417">
        <w:t>this document is to</w:t>
      </w:r>
      <w:r w:rsidR="002B7FAB">
        <w:t xml:space="preserve"> </w:t>
      </w:r>
      <w:r w:rsidR="002B7FAB" w:rsidRPr="002B7FAB">
        <w:t xml:space="preserve">document a software safety classification </w:t>
      </w:r>
      <w:r w:rsidR="00217011">
        <w:t xml:space="preserve">in accordance </w:t>
      </w:r>
      <w:r w:rsidR="006F1687">
        <w:t>with</w:t>
      </w:r>
      <w:r w:rsidR="002B7FAB" w:rsidRPr="002B7FAB">
        <w:t xml:space="preserve"> clause 4.3 "Software safety classification" in IEC 62304:2006+AMD1:2015</w:t>
      </w:r>
      <w:r w:rsidR="00217011">
        <w:t xml:space="preserve"> and other applicable regulations.</w:t>
      </w:r>
    </w:p>
    <w:p w14:paraId="7136F112" w14:textId="361C3852" w:rsidR="005E1739" w:rsidRPr="00A727D1" w:rsidRDefault="005E1739" w:rsidP="005E1739">
      <w:pPr>
        <w:pStyle w:val="Heading1"/>
        <w:spacing w:after="240"/>
        <w:ind w:left="431" w:hanging="431"/>
        <w:rPr>
          <w:color w:val="000000" w:themeColor="text1"/>
        </w:rPr>
      </w:pPr>
      <w:bookmarkStart w:id="2" w:name="_Toc116466046"/>
      <w:r w:rsidRPr="00A727D1">
        <w:rPr>
          <w:color w:val="000000" w:themeColor="text1"/>
        </w:rPr>
        <w:t>Scope</w:t>
      </w:r>
      <w:bookmarkEnd w:id="2"/>
    </w:p>
    <w:p w14:paraId="0761CD76" w14:textId="67316590" w:rsidR="005E1739" w:rsidRPr="00345AD1" w:rsidRDefault="00B512A2" w:rsidP="008E79AF">
      <w:pPr>
        <w:jc w:val="both"/>
      </w:pPr>
      <w:r w:rsidRPr="00B512A2">
        <w:t xml:space="preserve">This document is intended to assign a software safety class to the software system comprised in </w:t>
      </w:r>
      <w:r w:rsidRPr="00E754D6">
        <w:rPr>
          <w:i/>
          <w:color w:val="0070C0"/>
        </w:rPr>
        <w:t>&lt;Name of Medical device&gt;</w:t>
      </w:r>
      <w:r>
        <w:rPr>
          <w:i/>
          <w:color w:val="0000FF"/>
        </w:rPr>
        <w:t>.</w:t>
      </w:r>
    </w:p>
    <w:p w14:paraId="7E044D8B" w14:textId="3CDE0F09" w:rsidR="00B72202" w:rsidRPr="00A727D1" w:rsidRDefault="00B72202" w:rsidP="00B72202">
      <w:pPr>
        <w:pStyle w:val="Heading1"/>
        <w:rPr>
          <w:color w:val="000000" w:themeColor="text1"/>
        </w:rPr>
      </w:pPr>
      <w:bookmarkStart w:id="3" w:name="_Toc116466047"/>
      <w:r w:rsidRPr="00A727D1">
        <w:rPr>
          <w:color w:val="000000" w:themeColor="text1"/>
        </w:rPr>
        <w:t>Reference</w:t>
      </w:r>
      <w:bookmarkEnd w:id="3"/>
      <w:r w:rsidR="00F4736B">
        <w:rPr>
          <w:color w:val="000000" w:themeColor="text1"/>
        </w:rPr>
        <w:t>s</w:t>
      </w:r>
    </w:p>
    <w:p w14:paraId="6C97BE8C" w14:textId="33DF6E07" w:rsidR="000B30F7" w:rsidRPr="00A727D1" w:rsidRDefault="000B30F7" w:rsidP="00F036E6">
      <w:pPr>
        <w:pStyle w:val="Heading2"/>
      </w:pPr>
      <w:bookmarkStart w:id="4" w:name="_Toc116466048"/>
      <w:r w:rsidRPr="00F036E6">
        <w:t>General</w:t>
      </w:r>
      <w:bookmarkEnd w:id="4"/>
    </w:p>
    <w:p w14:paraId="3E2F1D63" w14:textId="1F510575" w:rsidR="000B30F7" w:rsidRPr="00914CFE" w:rsidRDefault="00BF61E7" w:rsidP="00914CFE">
      <w:pPr>
        <w:pStyle w:val="Heading3"/>
        <w:rPr>
          <w:b w:val="0"/>
          <w:bCs/>
          <w:color w:val="auto"/>
        </w:rPr>
      </w:pPr>
      <w:r w:rsidRPr="00914CFE">
        <w:rPr>
          <w:b w:val="0"/>
          <w:bCs/>
          <w:color w:val="auto"/>
        </w:rPr>
        <w:t>SSI-SOP-</w:t>
      </w:r>
      <w:r w:rsidR="00980977">
        <w:rPr>
          <w:b w:val="0"/>
          <w:bCs/>
          <w:color w:val="auto"/>
        </w:rPr>
        <w:t>20</w:t>
      </w:r>
      <w:r w:rsidRPr="00914CFE">
        <w:rPr>
          <w:b w:val="0"/>
          <w:bCs/>
          <w:color w:val="auto"/>
        </w:rPr>
        <w:t xml:space="preserve">, </w:t>
      </w:r>
      <w:r w:rsidR="000B30F7" w:rsidRPr="00914CFE">
        <w:rPr>
          <w:b w:val="0"/>
          <w:bCs/>
          <w:color w:val="auto"/>
        </w:rPr>
        <w:t>Software Development</w:t>
      </w:r>
      <w:r w:rsidR="00D55158" w:rsidRPr="00914CFE">
        <w:rPr>
          <w:b w:val="0"/>
          <w:bCs/>
          <w:color w:val="auto"/>
        </w:rPr>
        <w:t xml:space="preserve"> and Validation</w:t>
      </w:r>
    </w:p>
    <w:p w14:paraId="7901747B" w14:textId="738FED63" w:rsidR="000B30F7" w:rsidRPr="0032689D" w:rsidRDefault="00BF61E7" w:rsidP="000B30F7">
      <w:pPr>
        <w:pStyle w:val="Heading3"/>
        <w:rPr>
          <w:b w:val="0"/>
          <w:bCs/>
          <w:color w:val="auto"/>
        </w:rPr>
      </w:pPr>
      <w:r>
        <w:rPr>
          <w:b w:val="0"/>
          <w:bCs/>
          <w:color w:val="auto"/>
          <w:lang w:val="fr-FR"/>
        </w:rPr>
        <w:t>SSI-SOP-</w:t>
      </w:r>
      <w:r w:rsidR="00D55158">
        <w:rPr>
          <w:b w:val="0"/>
          <w:bCs/>
          <w:color w:val="auto"/>
          <w:lang w:val="fr-FR"/>
        </w:rPr>
        <w:t>13</w:t>
      </w:r>
      <w:r>
        <w:rPr>
          <w:b w:val="0"/>
          <w:bCs/>
          <w:color w:val="auto"/>
          <w:lang w:val="fr-FR"/>
        </w:rPr>
        <w:t xml:space="preserve">, </w:t>
      </w:r>
      <w:r w:rsidR="00471F04" w:rsidRPr="00AE1CC2">
        <w:rPr>
          <w:b w:val="0"/>
          <w:bCs/>
          <w:color w:val="auto"/>
        </w:rPr>
        <w:t>Risk Management</w:t>
      </w:r>
    </w:p>
    <w:p w14:paraId="25D35008" w14:textId="08AFF09B" w:rsidR="000B30F7" w:rsidRPr="00A727D1" w:rsidRDefault="00D55158" w:rsidP="00F036E6">
      <w:pPr>
        <w:pStyle w:val="Heading2"/>
      </w:pPr>
      <w:bookmarkStart w:id="5" w:name="_Toc116466049"/>
      <w:bookmarkStart w:id="6" w:name="_Ref117173687"/>
      <w:r w:rsidRPr="00A727D1">
        <w:t xml:space="preserve">Regulations and </w:t>
      </w:r>
      <w:r w:rsidR="000B30F7" w:rsidRPr="00A727D1">
        <w:t>Standards</w:t>
      </w:r>
      <w:bookmarkEnd w:id="5"/>
      <w:bookmarkEnd w:id="6"/>
    </w:p>
    <w:p w14:paraId="58D1EAD8" w14:textId="34DE0CCF" w:rsidR="00471F04" w:rsidRPr="00AE1CC2" w:rsidRDefault="00471F04" w:rsidP="00471F04">
      <w:pPr>
        <w:pStyle w:val="Heading3"/>
        <w:keepNext w:val="0"/>
        <w:keepLines w:val="0"/>
        <w:widowControl w:val="0"/>
        <w:rPr>
          <w:b w:val="0"/>
          <w:bCs/>
          <w:color w:val="auto"/>
        </w:rPr>
      </w:pPr>
      <w:r w:rsidRPr="00AE1CC2">
        <w:rPr>
          <w:b w:val="0"/>
          <w:bCs/>
          <w:color w:val="auto"/>
        </w:rPr>
        <w:t>IEC 62304</w:t>
      </w:r>
      <w:r w:rsidR="00A50550">
        <w:rPr>
          <w:b w:val="0"/>
          <w:bCs/>
          <w:color w:val="auto"/>
        </w:rPr>
        <w:t>:2006+AMD1:2015,</w:t>
      </w:r>
      <w:r w:rsidRPr="00AE1CC2">
        <w:rPr>
          <w:b w:val="0"/>
          <w:bCs/>
          <w:color w:val="auto"/>
        </w:rPr>
        <w:t xml:space="preserve"> Medical Device – Software Lifecycle Processes </w:t>
      </w:r>
    </w:p>
    <w:p w14:paraId="6550DF4B" w14:textId="68BF0216" w:rsidR="00FF5D52" w:rsidRPr="00E754D6" w:rsidRDefault="00876609" w:rsidP="00FF5D52">
      <w:pPr>
        <w:pStyle w:val="Heading3"/>
        <w:rPr>
          <w:bCs/>
          <w:i/>
          <w:iCs/>
          <w:color w:val="0070C0"/>
        </w:rPr>
      </w:pPr>
      <w:r w:rsidRPr="00E754D6">
        <w:rPr>
          <w:b w:val="0"/>
          <w:bCs/>
          <w:i/>
          <w:iCs/>
          <w:color w:val="0070C0"/>
        </w:rPr>
        <w:t xml:space="preserve">FDA </w:t>
      </w:r>
      <w:r w:rsidR="00FF5D52" w:rsidRPr="00E754D6">
        <w:rPr>
          <w:b w:val="0"/>
          <w:bCs/>
          <w:i/>
          <w:iCs/>
          <w:color w:val="0070C0"/>
        </w:rPr>
        <w:t>Guidance for the Content of Premarket Submissions for Software Contained in Medical Devices</w:t>
      </w:r>
      <w:r w:rsidRPr="00E754D6">
        <w:rPr>
          <w:b w:val="0"/>
          <w:bCs/>
          <w:i/>
          <w:iCs/>
          <w:color w:val="0070C0"/>
        </w:rPr>
        <w:t>, May 11, 2015</w:t>
      </w:r>
    </w:p>
    <w:p w14:paraId="27E724C8" w14:textId="6D9AC3A7" w:rsidR="000B30F7" w:rsidRPr="00E754D6" w:rsidRDefault="00471F04" w:rsidP="002850B3">
      <w:pPr>
        <w:pStyle w:val="Heading3"/>
        <w:keepNext w:val="0"/>
        <w:keepLines w:val="0"/>
        <w:widowControl w:val="0"/>
        <w:rPr>
          <w:b w:val="0"/>
          <w:bCs/>
          <w:i/>
          <w:iCs/>
          <w:color w:val="0070C0"/>
        </w:rPr>
      </w:pPr>
      <w:r w:rsidRPr="00E754D6">
        <w:rPr>
          <w:b w:val="0"/>
          <w:bCs/>
          <w:i/>
          <w:iCs/>
          <w:color w:val="0070C0"/>
        </w:rPr>
        <w:t>&lt;</w:t>
      </w:r>
      <w:r w:rsidR="00D55158" w:rsidRPr="00E754D6">
        <w:rPr>
          <w:b w:val="0"/>
          <w:bCs/>
          <w:i/>
          <w:iCs/>
          <w:color w:val="0070C0"/>
        </w:rPr>
        <w:t xml:space="preserve">Remove/Add </w:t>
      </w:r>
      <w:r w:rsidRPr="00E754D6">
        <w:rPr>
          <w:b w:val="0"/>
          <w:bCs/>
          <w:i/>
          <w:iCs/>
          <w:color w:val="0070C0"/>
        </w:rPr>
        <w:t>regulations and standards</w:t>
      </w:r>
      <w:r w:rsidR="00D55158" w:rsidRPr="00E754D6">
        <w:rPr>
          <w:b w:val="0"/>
          <w:bCs/>
          <w:i/>
          <w:iCs/>
          <w:color w:val="0070C0"/>
        </w:rPr>
        <w:t xml:space="preserve"> as need. Ensure the standard year and version are specified, as applicable</w:t>
      </w:r>
      <w:r w:rsidRPr="00E754D6">
        <w:rPr>
          <w:b w:val="0"/>
          <w:bCs/>
          <w:i/>
          <w:iCs/>
          <w:color w:val="0070C0"/>
        </w:rPr>
        <w:t>&gt;</w:t>
      </w:r>
    </w:p>
    <w:p w14:paraId="4FDB67C9" w14:textId="77777777" w:rsidR="00B52A6E" w:rsidRDefault="00B52A6E" w:rsidP="00B52A6E"/>
    <w:p w14:paraId="28A935EF" w14:textId="77777777" w:rsidR="00AD47B2" w:rsidRPr="00A727D1" w:rsidRDefault="00AD47B2" w:rsidP="00AD47B2">
      <w:pPr>
        <w:pStyle w:val="Heading1"/>
        <w:spacing w:after="240"/>
        <w:ind w:left="431" w:hanging="431"/>
        <w:rPr>
          <w:color w:val="000000" w:themeColor="text1"/>
        </w:rPr>
      </w:pPr>
      <w:bookmarkStart w:id="7" w:name="_Toc116466052"/>
      <w:r>
        <w:rPr>
          <w:color w:val="000000" w:themeColor="text1"/>
        </w:rPr>
        <w:t>Software System Safety Classification</w:t>
      </w:r>
    </w:p>
    <w:bookmarkEnd w:id="7"/>
    <w:p w14:paraId="2B429BDE" w14:textId="4DD6F3A6" w:rsidR="004252DC" w:rsidRPr="00A727D1" w:rsidRDefault="00305279" w:rsidP="00F036E6">
      <w:pPr>
        <w:pStyle w:val="Heading2"/>
      </w:pPr>
      <w:r>
        <w:t>Description of the System</w:t>
      </w:r>
    </w:p>
    <w:p w14:paraId="6409B900" w14:textId="382BCC75" w:rsidR="002A2A25" w:rsidRPr="00E754D6" w:rsidRDefault="002A2A25" w:rsidP="001852AE">
      <w:pPr>
        <w:widowControl w:val="0"/>
        <w:rPr>
          <w:color w:val="0070C0"/>
          <w:lang w:val="en-US"/>
        </w:rPr>
      </w:pPr>
      <w:r w:rsidRPr="00E754D6">
        <w:rPr>
          <w:i/>
          <w:color w:val="0070C0"/>
        </w:rPr>
        <w:t>&lt;Provide</w:t>
      </w:r>
      <w:r w:rsidR="00DE2965" w:rsidRPr="00E754D6">
        <w:rPr>
          <w:i/>
          <w:color w:val="0070C0"/>
        </w:rPr>
        <w:t xml:space="preserve"> an overall description of the software system</w:t>
      </w:r>
      <w:r w:rsidRPr="00E754D6">
        <w:rPr>
          <w:i/>
          <w:color w:val="0070C0"/>
        </w:rPr>
        <w:t>&gt;</w:t>
      </w:r>
    </w:p>
    <w:p w14:paraId="108B5D43" w14:textId="6B21ADE2" w:rsidR="007F7867" w:rsidRPr="001D1FC6" w:rsidRDefault="00DB575D" w:rsidP="00F036E6">
      <w:pPr>
        <w:pStyle w:val="Heading2"/>
      </w:pPr>
      <w:r w:rsidRPr="001D1FC6">
        <w:t>Review of relevant hazardous situations</w:t>
      </w:r>
      <w:r w:rsidR="001D1FC6">
        <w:t xml:space="preserve"> (use if required)</w:t>
      </w:r>
    </w:p>
    <w:p w14:paraId="07C78F7D" w14:textId="6A4BE5A6" w:rsidR="00CA62C0" w:rsidRPr="00E754D6" w:rsidRDefault="00CA62C0" w:rsidP="008B255E">
      <w:pPr>
        <w:widowControl w:val="0"/>
        <w:jc w:val="both"/>
        <w:rPr>
          <w:i/>
          <w:color w:val="0070C0"/>
        </w:rPr>
      </w:pPr>
      <w:r w:rsidRPr="00E754D6">
        <w:rPr>
          <w:i/>
          <w:color w:val="0070C0"/>
        </w:rPr>
        <w:t>&lt;The starting point for the software safety classification is to identify relevant hazardous situations. Firstly, identify when a failure in the software can contribute to a hazardous situation. Secondly, look for risk control measures implemented by the software because the software inherits the risk it is supposed to mitigate.</w:t>
      </w:r>
    </w:p>
    <w:p w14:paraId="0DD85933" w14:textId="77777777" w:rsidR="00CA62C0" w:rsidRPr="00E754D6" w:rsidRDefault="00CA62C0" w:rsidP="008B255E">
      <w:pPr>
        <w:widowControl w:val="0"/>
        <w:jc w:val="both"/>
        <w:rPr>
          <w:i/>
          <w:color w:val="0070C0"/>
        </w:rPr>
      </w:pPr>
      <w:r w:rsidRPr="00E754D6">
        <w:rPr>
          <w:i/>
          <w:color w:val="0070C0"/>
        </w:rPr>
        <w:t>Once the relevant hazardous situations are identified, they can be assessed to determine how they influence the classification.</w:t>
      </w:r>
    </w:p>
    <w:p w14:paraId="3FE2A224" w14:textId="77777777" w:rsidR="00CA62C0" w:rsidRPr="00E754D6" w:rsidRDefault="00CA62C0" w:rsidP="008B255E">
      <w:pPr>
        <w:widowControl w:val="0"/>
        <w:jc w:val="both"/>
        <w:rPr>
          <w:i/>
          <w:color w:val="0070C0"/>
        </w:rPr>
      </w:pPr>
      <w:r w:rsidRPr="00E754D6">
        <w:rPr>
          <w:i/>
          <w:color w:val="0070C0"/>
        </w:rPr>
        <w:t>For this assessment, it is essential to understand the concept of Po = P1 x P2. If you don't recognize it, you might want to look at this free video before proceeding. You can also read more about the concept in ISO 14971:2019, Annex C "Fundamental risk concepts", or get an in-depth understanding by taking the online course Introduction to software for medical devices and IEC 62304.</w:t>
      </w:r>
    </w:p>
    <w:p w14:paraId="747303C9" w14:textId="77777777" w:rsidR="00CA62C0" w:rsidRPr="00E754D6" w:rsidRDefault="00CA62C0" w:rsidP="008B255E">
      <w:pPr>
        <w:widowControl w:val="0"/>
        <w:jc w:val="both"/>
        <w:rPr>
          <w:i/>
          <w:color w:val="0070C0"/>
        </w:rPr>
      </w:pPr>
      <w:r w:rsidRPr="00E754D6">
        <w:rPr>
          <w:i/>
          <w:color w:val="0070C0"/>
        </w:rPr>
        <w:t xml:space="preserve">When determining an SSC, the likelihood of software failure shall be 100%. Software failure is part of P1, but more factors may come into play when determining the likelihood of a hazardous situation occurring. Consequently, Po can be expressed as follows: </w:t>
      </w:r>
    </w:p>
    <w:p w14:paraId="7B652582" w14:textId="77777777" w:rsidR="00CA62C0" w:rsidRPr="00E754D6" w:rsidRDefault="00CA62C0" w:rsidP="008B255E">
      <w:pPr>
        <w:widowControl w:val="0"/>
        <w:jc w:val="both"/>
        <w:rPr>
          <w:i/>
          <w:color w:val="0070C0"/>
        </w:rPr>
      </w:pPr>
      <w:r w:rsidRPr="00E754D6">
        <w:rPr>
          <w:i/>
          <w:color w:val="0070C0"/>
        </w:rPr>
        <w:lastRenderedPageBreak/>
        <w:t xml:space="preserve">Po = P1SW x P1Ext x P2 </w:t>
      </w:r>
      <w:r w:rsidRPr="00E754D6">
        <w:rPr>
          <w:i/>
          <w:color w:val="0070C0"/>
        </w:rPr>
        <w:tab/>
      </w:r>
    </w:p>
    <w:p w14:paraId="725CF737" w14:textId="77777777" w:rsidR="00CA62C0" w:rsidRPr="00E754D6" w:rsidRDefault="00CA62C0" w:rsidP="008B255E">
      <w:pPr>
        <w:widowControl w:val="0"/>
        <w:jc w:val="both"/>
        <w:rPr>
          <w:i/>
          <w:color w:val="0070C0"/>
        </w:rPr>
      </w:pPr>
      <w:r w:rsidRPr="00E754D6">
        <w:rPr>
          <w:i/>
          <w:color w:val="0070C0"/>
        </w:rPr>
        <w:t>P1SW == 100% prior software risk management activities.</w:t>
      </w:r>
    </w:p>
    <w:p w14:paraId="7384F715" w14:textId="77777777" w:rsidR="00CA62C0" w:rsidRPr="00E754D6" w:rsidRDefault="00CA62C0" w:rsidP="008B255E">
      <w:pPr>
        <w:widowControl w:val="0"/>
        <w:jc w:val="both"/>
        <w:rPr>
          <w:i/>
          <w:color w:val="0070C0"/>
        </w:rPr>
      </w:pPr>
      <w:r w:rsidRPr="00E754D6">
        <w:rPr>
          <w:i/>
          <w:color w:val="0070C0"/>
        </w:rPr>
        <w:t>P1EXT == Conditions external to the software required to result in a hazardous situation.</w:t>
      </w:r>
    </w:p>
    <w:p w14:paraId="4F07D571" w14:textId="77777777" w:rsidR="00CA62C0" w:rsidRPr="00E754D6" w:rsidRDefault="00CA62C0" w:rsidP="008B255E">
      <w:pPr>
        <w:widowControl w:val="0"/>
        <w:jc w:val="both"/>
        <w:rPr>
          <w:i/>
          <w:color w:val="0070C0"/>
        </w:rPr>
      </w:pPr>
      <w:r w:rsidRPr="00E754D6">
        <w:rPr>
          <w:i/>
          <w:color w:val="0070C0"/>
        </w:rPr>
        <w:t>P1Ext can be one or several external risk control measures. External risk control measures can be another software system but never within the software system under review.</w:t>
      </w:r>
    </w:p>
    <w:p w14:paraId="7A9430C8" w14:textId="77777777" w:rsidR="00CA62C0" w:rsidRPr="00E754D6" w:rsidRDefault="00CA62C0" w:rsidP="008B255E">
      <w:pPr>
        <w:widowControl w:val="0"/>
        <w:jc w:val="both"/>
        <w:rPr>
          <w:i/>
          <w:color w:val="0070C0"/>
        </w:rPr>
      </w:pPr>
      <w:r w:rsidRPr="00E754D6">
        <w:rPr>
          <w:i/>
          <w:color w:val="0070C0"/>
        </w:rPr>
        <w:t>Perhaps it seems unnecessary to perform a detailed assessment for high-risk devices because it will result in Class C anyway. However, by documenting an evaluation, you will help others understand where to find the safety-critical parts in your software system, which is helpful for future design and maintenance work.</w:t>
      </w:r>
    </w:p>
    <w:p w14:paraId="2220559B" w14:textId="77777777" w:rsidR="00CA62C0" w:rsidRPr="00E754D6" w:rsidRDefault="00CA62C0" w:rsidP="008B255E">
      <w:pPr>
        <w:widowControl w:val="0"/>
        <w:jc w:val="both"/>
        <w:rPr>
          <w:i/>
          <w:color w:val="0070C0"/>
        </w:rPr>
      </w:pPr>
      <w:r w:rsidRPr="00E754D6">
        <w:rPr>
          <w:i/>
          <w:color w:val="0070C0"/>
        </w:rPr>
        <w:t>To avoid overshooting the classification, please note that injury used in IEC 62304 is more narrowly defined compared to harm in ISO 14971.</w:t>
      </w:r>
    </w:p>
    <w:p w14:paraId="4D80D2FB" w14:textId="77777777" w:rsidR="00CA62C0" w:rsidRPr="00E754D6" w:rsidRDefault="00CA62C0" w:rsidP="008B255E">
      <w:pPr>
        <w:widowControl w:val="0"/>
        <w:jc w:val="both"/>
        <w:rPr>
          <w:i/>
          <w:color w:val="0070C0"/>
        </w:rPr>
      </w:pPr>
      <w:r w:rsidRPr="00E754D6">
        <w:rPr>
          <w:i/>
          <w:color w:val="0070C0"/>
        </w:rPr>
        <w:t>Even though it is not recommended to duplicate information, copying selected parts from your risk assessment into this document may improve readability. Still, feel free to delete columns from the table below but make sure to keep enough information to allow traceability to your risk analysis, for example, unique risk identifiers.</w:t>
      </w:r>
    </w:p>
    <w:p w14:paraId="622ABF73" w14:textId="77777777" w:rsidR="00CA62C0" w:rsidRPr="00E754D6" w:rsidRDefault="00CA62C0" w:rsidP="008B255E">
      <w:pPr>
        <w:widowControl w:val="0"/>
        <w:jc w:val="both"/>
        <w:rPr>
          <w:i/>
          <w:color w:val="0070C0"/>
        </w:rPr>
      </w:pPr>
      <w:r w:rsidRPr="00E754D6">
        <w:rPr>
          <w:i/>
          <w:color w:val="0070C0"/>
        </w:rPr>
        <w:t>For this section, you have two alternatives:</w:t>
      </w:r>
    </w:p>
    <w:p w14:paraId="1CFF7792" w14:textId="77777777" w:rsidR="00CA62C0" w:rsidRPr="00E754D6" w:rsidRDefault="00CA62C0" w:rsidP="008B255E">
      <w:pPr>
        <w:widowControl w:val="0"/>
        <w:jc w:val="both"/>
        <w:rPr>
          <w:i/>
          <w:color w:val="0070C0"/>
        </w:rPr>
      </w:pPr>
      <w:r w:rsidRPr="00E754D6">
        <w:rPr>
          <w:i/>
          <w:color w:val="0070C0"/>
        </w:rPr>
        <w:t>Alternative 1, if you only find non-injury related risks, choose this first alternative and remove alternative 2. Move ahead and conclude, in section 3, that the software system is a class A system.</w:t>
      </w:r>
    </w:p>
    <w:p w14:paraId="427F1C76" w14:textId="2E76A924" w:rsidR="00CA62C0" w:rsidRDefault="00CA62C0" w:rsidP="008B255E">
      <w:pPr>
        <w:jc w:val="both"/>
      </w:pPr>
      <w:r>
        <w:t>The risk assessment [2] has been reviewed for software-related risks that may lead to injury; no applicable hazardous situations were identified.</w:t>
      </w:r>
    </w:p>
    <w:p w14:paraId="2173A3D9" w14:textId="77777777" w:rsidR="00CA62C0" w:rsidRPr="00E754D6" w:rsidRDefault="00CA62C0" w:rsidP="008B255E">
      <w:pPr>
        <w:widowControl w:val="0"/>
        <w:jc w:val="both"/>
        <w:rPr>
          <w:i/>
          <w:color w:val="0070C0"/>
        </w:rPr>
      </w:pPr>
      <w:r w:rsidRPr="00E754D6">
        <w:rPr>
          <w:i/>
          <w:color w:val="0070C0"/>
        </w:rPr>
        <w:t xml:space="preserve">Alternative 2, if you find any risk that may lead to injury, use the section below and remove alternative 1 above. Please note that the examples provided in the table are made-up examples to give you an idea of how to use the table. </w:t>
      </w:r>
    </w:p>
    <w:p w14:paraId="6C619286" w14:textId="77777777" w:rsidR="00CA62C0" w:rsidRPr="00E754D6" w:rsidRDefault="00CA62C0" w:rsidP="008B255E">
      <w:pPr>
        <w:widowControl w:val="0"/>
        <w:jc w:val="both"/>
        <w:rPr>
          <w:i/>
          <w:color w:val="0070C0"/>
        </w:rPr>
      </w:pPr>
      <w:r w:rsidRPr="00E754D6">
        <w:rPr>
          <w:i/>
          <w:color w:val="0070C0"/>
        </w:rPr>
        <w:t>For the "Po assessment" in the table below, it is usually highly beneficial to have colleagues with clinical knowledge involved in the discussions. You could even consider asking such a person to act as the formal reviewer of this document, especially when class C risks are deemed acceptable, resulting in class B or even class A.</w:t>
      </w:r>
    </w:p>
    <w:p w14:paraId="763EFE96" w14:textId="77777777" w:rsidR="00CA62C0" w:rsidRDefault="00CA62C0" w:rsidP="008B255E">
      <w:pPr>
        <w:jc w:val="both"/>
      </w:pPr>
      <w:r>
        <w:t xml:space="preserve">The risk assessment [2] has been reviewed for software-related hazardous situations resulting in the below list.  </w:t>
      </w:r>
    </w:p>
    <w:p w14:paraId="229A510F" w14:textId="69B9AD83" w:rsidR="00DB575D" w:rsidRPr="00E754D6" w:rsidRDefault="00CA62C0" w:rsidP="008B255E">
      <w:pPr>
        <w:widowControl w:val="0"/>
        <w:jc w:val="both"/>
        <w:rPr>
          <w:i/>
          <w:color w:val="0070C0"/>
        </w:rPr>
      </w:pPr>
      <w:r w:rsidRPr="00E754D6">
        <w:rPr>
          <w:i/>
          <w:color w:val="0070C0"/>
        </w:rPr>
        <w:t>Please remove the example text in the table below with relevant information applicable to your product.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1607"/>
        <w:gridCol w:w="1684"/>
        <w:gridCol w:w="2453"/>
        <w:gridCol w:w="1317"/>
        <w:gridCol w:w="1350"/>
      </w:tblGrid>
      <w:tr w:rsidR="00E754D6" w:rsidRPr="00E754D6" w14:paraId="1AE21D88" w14:textId="77777777" w:rsidTr="00F47220">
        <w:tc>
          <w:tcPr>
            <w:tcW w:w="306" w:type="pct"/>
            <w:tcBorders>
              <w:right w:val="single" w:sz="4" w:space="0" w:color="auto"/>
            </w:tcBorders>
            <w:shd w:val="clear" w:color="auto" w:fill="F2F2F2" w:themeFill="background1" w:themeFillShade="F2"/>
          </w:tcPr>
          <w:p w14:paraId="01718AAE" w14:textId="77777777" w:rsidR="00F47220" w:rsidRPr="00E754D6" w:rsidRDefault="00F47220" w:rsidP="00F47220">
            <w:pPr>
              <w:widowControl w:val="0"/>
              <w:rPr>
                <w:i/>
                <w:color w:val="0070C0"/>
              </w:rPr>
            </w:pPr>
            <w:r w:rsidRPr="00E754D6">
              <w:rPr>
                <w:i/>
                <w:color w:val="0070C0"/>
              </w:rPr>
              <w:t>Risk ID</w:t>
            </w:r>
          </w:p>
        </w:tc>
        <w:tc>
          <w:tcPr>
            <w:tcW w:w="926" w:type="pct"/>
            <w:tcBorders>
              <w:right w:val="single" w:sz="4" w:space="0" w:color="auto"/>
            </w:tcBorders>
            <w:shd w:val="clear" w:color="auto" w:fill="F2F2F2" w:themeFill="background1" w:themeFillShade="F2"/>
          </w:tcPr>
          <w:p w14:paraId="7BE1ECF4" w14:textId="77777777" w:rsidR="00F47220" w:rsidRPr="00E754D6" w:rsidRDefault="00F47220" w:rsidP="00F47220">
            <w:pPr>
              <w:widowControl w:val="0"/>
              <w:rPr>
                <w:i/>
                <w:color w:val="0070C0"/>
              </w:rPr>
            </w:pPr>
            <w:r w:rsidRPr="00E754D6">
              <w:rPr>
                <w:i/>
                <w:color w:val="0070C0"/>
              </w:rPr>
              <w:t>Hazardous situation</w:t>
            </w:r>
          </w:p>
        </w:tc>
        <w:tc>
          <w:tcPr>
            <w:tcW w:w="969" w:type="pct"/>
            <w:tcBorders>
              <w:right w:val="single" w:sz="4" w:space="0" w:color="auto"/>
            </w:tcBorders>
            <w:shd w:val="clear" w:color="auto" w:fill="F2F2F2" w:themeFill="background1" w:themeFillShade="F2"/>
          </w:tcPr>
          <w:p w14:paraId="254C523E" w14:textId="77777777" w:rsidR="00F47220" w:rsidRPr="00E754D6" w:rsidRDefault="00F47220" w:rsidP="00F47220">
            <w:pPr>
              <w:widowControl w:val="0"/>
              <w:rPr>
                <w:i/>
                <w:color w:val="0070C0"/>
              </w:rPr>
            </w:pPr>
            <w:r w:rsidRPr="00E754D6">
              <w:rPr>
                <w:i/>
                <w:color w:val="0070C0"/>
              </w:rPr>
              <w:t>External RCM available?</w:t>
            </w:r>
          </w:p>
        </w:tc>
        <w:tc>
          <w:tcPr>
            <w:tcW w:w="13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FBCE71" w14:textId="77777777" w:rsidR="00F47220" w:rsidRPr="00E754D6" w:rsidRDefault="00F47220" w:rsidP="00F47220">
            <w:pPr>
              <w:widowControl w:val="0"/>
              <w:rPr>
                <w:i/>
                <w:color w:val="0070C0"/>
                <w:lang w:val="it-IT"/>
              </w:rPr>
            </w:pPr>
            <w:r w:rsidRPr="00E754D6">
              <w:rPr>
                <w:i/>
                <w:color w:val="0070C0"/>
                <w:lang w:val="it-IT"/>
              </w:rPr>
              <w:t>Po assessment</w:t>
            </w:r>
          </w:p>
          <w:p w14:paraId="062BAE8E" w14:textId="77777777" w:rsidR="00F47220" w:rsidRPr="00E754D6" w:rsidRDefault="00F47220" w:rsidP="00F47220">
            <w:pPr>
              <w:widowControl w:val="0"/>
              <w:rPr>
                <w:i/>
                <w:color w:val="0070C0"/>
                <w:lang w:val="it-IT"/>
              </w:rPr>
            </w:pPr>
            <w:r w:rsidRPr="00E754D6">
              <w:rPr>
                <w:i/>
                <w:color w:val="0070C0"/>
                <w:lang w:val="it-IT"/>
              </w:rPr>
              <w:t>(Po = P1 x P2)</w:t>
            </w:r>
          </w:p>
        </w:tc>
        <w:tc>
          <w:tcPr>
            <w:tcW w:w="69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D42778" w14:textId="77777777" w:rsidR="00F47220" w:rsidRPr="00E754D6" w:rsidRDefault="00F47220" w:rsidP="00F47220">
            <w:pPr>
              <w:widowControl w:val="0"/>
              <w:rPr>
                <w:i/>
                <w:color w:val="0070C0"/>
              </w:rPr>
            </w:pPr>
            <w:r w:rsidRPr="00E754D6">
              <w:rPr>
                <w:i/>
                <w:color w:val="0070C0"/>
              </w:rPr>
              <w:t>Acceptable?</w:t>
            </w:r>
          </w:p>
          <w:p w14:paraId="69FB1509" w14:textId="77777777" w:rsidR="00F47220" w:rsidRPr="00E754D6" w:rsidRDefault="00F47220" w:rsidP="00F47220">
            <w:pPr>
              <w:widowControl w:val="0"/>
              <w:rPr>
                <w:i/>
                <w:color w:val="0070C0"/>
              </w:rPr>
            </w:pPr>
            <w:r w:rsidRPr="00E754D6">
              <w:rPr>
                <w:i/>
                <w:color w:val="0070C0"/>
              </w:rPr>
              <w:t>[Yes / No]</w:t>
            </w:r>
          </w:p>
        </w:tc>
        <w:tc>
          <w:tcPr>
            <w:tcW w:w="70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62F06E" w14:textId="77777777" w:rsidR="00F47220" w:rsidRPr="00E754D6" w:rsidRDefault="00F47220" w:rsidP="00F47220">
            <w:pPr>
              <w:widowControl w:val="0"/>
              <w:rPr>
                <w:i/>
                <w:color w:val="0070C0"/>
              </w:rPr>
            </w:pPr>
            <w:r w:rsidRPr="00E754D6">
              <w:rPr>
                <w:i/>
                <w:color w:val="0070C0"/>
              </w:rPr>
              <w:t>Resulting classification</w:t>
            </w:r>
          </w:p>
          <w:p w14:paraId="4EAE96F5" w14:textId="77777777" w:rsidR="00F47220" w:rsidRPr="00E754D6" w:rsidRDefault="00F47220" w:rsidP="00F47220">
            <w:pPr>
              <w:widowControl w:val="0"/>
              <w:rPr>
                <w:i/>
                <w:color w:val="0070C0"/>
              </w:rPr>
            </w:pPr>
            <w:r w:rsidRPr="00E754D6">
              <w:rPr>
                <w:i/>
                <w:color w:val="0070C0"/>
              </w:rPr>
              <w:t>[A / B / C]</w:t>
            </w:r>
          </w:p>
        </w:tc>
      </w:tr>
      <w:tr w:rsidR="00E754D6" w:rsidRPr="00E754D6" w14:paraId="53B1496C" w14:textId="77777777" w:rsidTr="001F776D">
        <w:tc>
          <w:tcPr>
            <w:tcW w:w="306" w:type="pct"/>
            <w:tcBorders>
              <w:right w:val="single" w:sz="4" w:space="0" w:color="auto"/>
            </w:tcBorders>
          </w:tcPr>
          <w:p w14:paraId="6F93ACCA" w14:textId="77777777" w:rsidR="00F47220" w:rsidRPr="00E754D6" w:rsidRDefault="00F47220" w:rsidP="00F47220">
            <w:pPr>
              <w:widowControl w:val="0"/>
              <w:rPr>
                <w:i/>
                <w:color w:val="0070C0"/>
              </w:rPr>
            </w:pPr>
            <w:r w:rsidRPr="00E754D6">
              <w:rPr>
                <w:i/>
                <w:color w:val="0070C0"/>
              </w:rPr>
              <w:t>12</w:t>
            </w:r>
          </w:p>
        </w:tc>
        <w:tc>
          <w:tcPr>
            <w:tcW w:w="926" w:type="pct"/>
            <w:tcBorders>
              <w:right w:val="single" w:sz="4" w:space="0" w:color="auto"/>
            </w:tcBorders>
          </w:tcPr>
          <w:p w14:paraId="0F58BF0A" w14:textId="77777777" w:rsidR="00F47220" w:rsidRPr="00E754D6" w:rsidRDefault="00F47220" w:rsidP="00F47220">
            <w:pPr>
              <w:widowControl w:val="0"/>
              <w:rPr>
                <w:i/>
                <w:color w:val="0070C0"/>
              </w:rPr>
            </w:pPr>
            <w:r w:rsidRPr="00E754D6">
              <w:rPr>
                <w:i/>
                <w:color w:val="0070C0"/>
              </w:rPr>
              <w:t>Lungs are exposed to harmful air pressure.</w:t>
            </w:r>
          </w:p>
        </w:tc>
        <w:tc>
          <w:tcPr>
            <w:tcW w:w="969" w:type="pct"/>
            <w:tcBorders>
              <w:right w:val="single" w:sz="4" w:space="0" w:color="auto"/>
            </w:tcBorders>
          </w:tcPr>
          <w:p w14:paraId="5AA5ADA2" w14:textId="77777777" w:rsidR="00F47220" w:rsidRPr="00E754D6" w:rsidRDefault="00F47220" w:rsidP="00F47220">
            <w:pPr>
              <w:widowControl w:val="0"/>
              <w:rPr>
                <w:i/>
                <w:color w:val="0070C0"/>
              </w:rPr>
            </w:pPr>
            <w:r w:rsidRPr="00E754D6">
              <w:rPr>
                <w:i/>
                <w:color w:val="0070C0"/>
              </w:rPr>
              <w:t>RCM-12: Overpressure valve in the airpath way prevents harmful pressure.</w:t>
            </w:r>
          </w:p>
        </w:tc>
        <w:tc>
          <w:tcPr>
            <w:tcW w:w="1395" w:type="pct"/>
            <w:tcBorders>
              <w:top w:val="single" w:sz="4" w:space="0" w:color="auto"/>
              <w:left w:val="single" w:sz="4" w:space="0" w:color="auto"/>
              <w:bottom w:val="single" w:sz="4" w:space="0" w:color="auto"/>
              <w:right w:val="single" w:sz="4" w:space="0" w:color="auto"/>
            </w:tcBorders>
          </w:tcPr>
          <w:p w14:paraId="2103193D" w14:textId="77777777" w:rsidR="00F47220" w:rsidRPr="00E754D6" w:rsidRDefault="00F47220" w:rsidP="00F47220">
            <w:pPr>
              <w:widowControl w:val="0"/>
              <w:rPr>
                <w:i/>
                <w:color w:val="0070C0"/>
              </w:rPr>
            </w:pPr>
            <w:r w:rsidRPr="00E754D6">
              <w:rPr>
                <w:i/>
                <w:color w:val="0070C0"/>
              </w:rPr>
              <w:t>The RCM is efficient and provides a strong P1Ext preventing the software from causing injury.</w:t>
            </w:r>
          </w:p>
        </w:tc>
        <w:tc>
          <w:tcPr>
            <w:tcW w:w="696" w:type="pct"/>
            <w:tcBorders>
              <w:top w:val="single" w:sz="4" w:space="0" w:color="auto"/>
              <w:left w:val="single" w:sz="4" w:space="0" w:color="auto"/>
              <w:bottom w:val="single" w:sz="4" w:space="0" w:color="auto"/>
              <w:right w:val="single" w:sz="4" w:space="0" w:color="auto"/>
            </w:tcBorders>
          </w:tcPr>
          <w:p w14:paraId="0EEBF688" w14:textId="77777777" w:rsidR="00F47220" w:rsidRPr="00E754D6" w:rsidRDefault="00F47220" w:rsidP="00F47220">
            <w:pPr>
              <w:widowControl w:val="0"/>
              <w:rPr>
                <w:i/>
                <w:color w:val="0070C0"/>
              </w:rPr>
            </w:pPr>
            <w:r w:rsidRPr="00E754D6">
              <w:rPr>
                <w:i/>
                <w:color w:val="0070C0"/>
              </w:rPr>
              <w:t>Yes</w:t>
            </w:r>
          </w:p>
        </w:tc>
        <w:tc>
          <w:tcPr>
            <w:tcW w:w="709" w:type="pct"/>
            <w:tcBorders>
              <w:top w:val="single" w:sz="4" w:space="0" w:color="auto"/>
              <w:left w:val="single" w:sz="4" w:space="0" w:color="auto"/>
              <w:bottom w:val="single" w:sz="4" w:space="0" w:color="auto"/>
              <w:right w:val="single" w:sz="4" w:space="0" w:color="auto"/>
            </w:tcBorders>
          </w:tcPr>
          <w:p w14:paraId="0D5D69D2" w14:textId="77777777" w:rsidR="00F47220" w:rsidRPr="00E754D6" w:rsidRDefault="00F47220" w:rsidP="00F47220">
            <w:pPr>
              <w:widowControl w:val="0"/>
              <w:rPr>
                <w:i/>
                <w:color w:val="0070C0"/>
              </w:rPr>
            </w:pPr>
            <w:r w:rsidRPr="00E754D6">
              <w:rPr>
                <w:i/>
                <w:color w:val="0070C0"/>
              </w:rPr>
              <w:t>A</w:t>
            </w:r>
          </w:p>
        </w:tc>
      </w:tr>
      <w:tr w:rsidR="00E754D6" w:rsidRPr="00E754D6" w14:paraId="67AE80E9" w14:textId="77777777" w:rsidTr="001F776D">
        <w:tc>
          <w:tcPr>
            <w:tcW w:w="306" w:type="pct"/>
            <w:tcBorders>
              <w:right w:val="single" w:sz="4" w:space="0" w:color="auto"/>
            </w:tcBorders>
          </w:tcPr>
          <w:p w14:paraId="535A8D8C" w14:textId="77777777" w:rsidR="00F47220" w:rsidRPr="00E754D6" w:rsidRDefault="00F47220" w:rsidP="00F47220">
            <w:pPr>
              <w:widowControl w:val="0"/>
              <w:rPr>
                <w:i/>
                <w:color w:val="0070C0"/>
              </w:rPr>
            </w:pPr>
            <w:r w:rsidRPr="00E754D6">
              <w:rPr>
                <w:i/>
                <w:color w:val="0070C0"/>
              </w:rPr>
              <w:t>23</w:t>
            </w:r>
          </w:p>
        </w:tc>
        <w:tc>
          <w:tcPr>
            <w:tcW w:w="926" w:type="pct"/>
            <w:tcBorders>
              <w:right w:val="single" w:sz="4" w:space="0" w:color="auto"/>
            </w:tcBorders>
          </w:tcPr>
          <w:p w14:paraId="53F5217B" w14:textId="77777777" w:rsidR="00F47220" w:rsidRPr="00E754D6" w:rsidRDefault="00F47220" w:rsidP="00F47220">
            <w:pPr>
              <w:widowControl w:val="0"/>
              <w:rPr>
                <w:i/>
                <w:color w:val="0070C0"/>
              </w:rPr>
            </w:pPr>
            <w:r w:rsidRPr="00E754D6">
              <w:rPr>
                <w:i/>
                <w:color w:val="0070C0"/>
              </w:rPr>
              <w:t xml:space="preserve">Lungs are not supported by </w:t>
            </w:r>
            <w:r w:rsidRPr="00E754D6">
              <w:rPr>
                <w:i/>
                <w:color w:val="0070C0"/>
              </w:rPr>
              <w:lastRenderedPageBreak/>
              <w:t>sufficient air pressure.</w:t>
            </w:r>
          </w:p>
        </w:tc>
        <w:tc>
          <w:tcPr>
            <w:tcW w:w="969" w:type="pct"/>
            <w:tcBorders>
              <w:right w:val="single" w:sz="4" w:space="0" w:color="auto"/>
            </w:tcBorders>
          </w:tcPr>
          <w:p w14:paraId="7E123B8E" w14:textId="77777777" w:rsidR="00F47220" w:rsidRPr="00E754D6" w:rsidRDefault="00F47220" w:rsidP="00F47220">
            <w:pPr>
              <w:widowControl w:val="0"/>
              <w:rPr>
                <w:i/>
                <w:color w:val="0070C0"/>
              </w:rPr>
            </w:pPr>
            <w:r w:rsidRPr="00E754D6">
              <w:rPr>
                <w:i/>
                <w:color w:val="0070C0"/>
              </w:rPr>
              <w:lastRenderedPageBreak/>
              <w:t>Not available.</w:t>
            </w:r>
          </w:p>
        </w:tc>
        <w:tc>
          <w:tcPr>
            <w:tcW w:w="1395" w:type="pct"/>
            <w:tcBorders>
              <w:top w:val="single" w:sz="4" w:space="0" w:color="auto"/>
              <w:left w:val="single" w:sz="4" w:space="0" w:color="auto"/>
              <w:bottom w:val="single" w:sz="4" w:space="0" w:color="auto"/>
              <w:right w:val="single" w:sz="4" w:space="0" w:color="auto"/>
            </w:tcBorders>
          </w:tcPr>
          <w:p w14:paraId="1C83A88E" w14:textId="77777777" w:rsidR="00F47220" w:rsidRPr="00E754D6" w:rsidRDefault="00F47220" w:rsidP="00F47220">
            <w:pPr>
              <w:widowControl w:val="0"/>
              <w:rPr>
                <w:i/>
                <w:color w:val="0070C0"/>
              </w:rPr>
            </w:pPr>
            <w:r w:rsidRPr="00E754D6">
              <w:rPr>
                <w:i/>
                <w:color w:val="0070C0"/>
              </w:rPr>
              <w:t xml:space="preserve">The hazardous situation may not lead to harm </w:t>
            </w:r>
            <w:r w:rsidRPr="00E754D6">
              <w:rPr>
                <w:i/>
                <w:color w:val="0070C0"/>
              </w:rPr>
              <w:lastRenderedPageBreak/>
              <w:t xml:space="preserve">(P2) to all exposed patients, but the risk is too high. </w:t>
            </w:r>
          </w:p>
        </w:tc>
        <w:tc>
          <w:tcPr>
            <w:tcW w:w="696" w:type="pct"/>
            <w:tcBorders>
              <w:top w:val="single" w:sz="4" w:space="0" w:color="auto"/>
              <w:left w:val="single" w:sz="4" w:space="0" w:color="auto"/>
              <w:bottom w:val="single" w:sz="4" w:space="0" w:color="auto"/>
              <w:right w:val="single" w:sz="4" w:space="0" w:color="auto"/>
            </w:tcBorders>
          </w:tcPr>
          <w:p w14:paraId="01E60DB5" w14:textId="77777777" w:rsidR="00F47220" w:rsidRPr="00E754D6" w:rsidRDefault="00F47220" w:rsidP="00F47220">
            <w:pPr>
              <w:widowControl w:val="0"/>
              <w:rPr>
                <w:i/>
                <w:color w:val="0070C0"/>
              </w:rPr>
            </w:pPr>
            <w:r w:rsidRPr="00E754D6">
              <w:rPr>
                <w:i/>
                <w:color w:val="0070C0"/>
              </w:rPr>
              <w:lastRenderedPageBreak/>
              <w:t>No</w:t>
            </w:r>
          </w:p>
        </w:tc>
        <w:tc>
          <w:tcPr>
            <w:tcW w:w="709" w:type="pct"/>
            <w:tcBorders>
              <w:top w:val="single" w:sz="4" w:space="0" w:color="auto"/>
              <w:left w:val="single" w:sz="4" w:space="0" w:color="auto"/>
              <w:bottom w:val="single" w:sz="4" w:space="0" w:color="auto"/>
              <w:right w:val="single" w:sz="4" w:space="0" w:color="auto"/>
            </w:tcBorders>
          </w:tcPr>
          <w:p w14:paraId="71A87C1E" w14:textId="77777777" w:rsidR="00F47220" w:rsidRPr="00E754D6" w:rsidRDefault="00F47220" w:rsidP="00F47220">
            <w:pPr>
              <w:widowControl w:val="0"/>
              <w:rPr>
                <w:i/>
                <w:color w:val="0070C0"/>
              </w:rPr>
            </w:pPr>
            <w:r w:rsidRPr="00E754D6">
              <w:rPr>
                <w:i/>
                <w:color w:val="0070C0"/>
              </w:rPr>
              <w:t>C</w:t>
            </w:r>
          </w:p>
        </w:tc>
      </w:tr>
      <w:tr w:rsidR="00E754D6" w:rsidRPr="00E754D6" w14:paraId="28BD2E6B" w14:textId="77777777" w:rsidTr="001F776D">
        <w:tc>
          <w:tcPr>
            <w:tcW w:w="306" w:type="pct"/>
            <w:tcBorders>
              <w:right w:val="single" w:sz="4" w:space="0" w:color="auto"/>
            </w:tcBorders>
          </w:tcPr>
          <w:p w14:paraId="2C945EB6" w14:textId="77777777" w:rsidR="00F47220" w:rsidRPr="00E754D6" w:rsidRDefault="00F47220" w:rsidP="00F47220">
            <w:pPr>
              <w:widowControl w:val="0"/>
              <w:rPr>
                <w:i/>
                <w:color w:val="0070C0"/>
              </w:rPr>
            </w:pPr>
            <w:r w:rsidRPr="00E754D6">
              <w:rPr>
                <w:i/>
                <w:color w:val="0070C0"/>
              </w:rPr>
              <w:t>25</w:t>
            </w:r>
          </w:p>
        </w:tc>
        <w:tc>
          <w:tcPr>
            <w:tcW w:w="926" w:type="pct"/>
            <w:tcBorders>
              <w:right w:val="single" w:sz="4" w:space="0" w:color="auto"/>
            </w:tcBorders>
          </w:tcPr>
          <w:p w14:paraId="53022D74" w14:textId="1B5C9082" w:rsidR="00F47220" w:rsidRPr="00E754D6" w:rsidRDefault="00F47220" w:rsidP="00F47220">
            <w:pPr>
              <w:widowControl w:val="0"/>
              <w:rPr>
                <w:i/>
                <w:color w:val="0070C0"/>
              </w:rPr>
            </w:pPr>
            <w:bookmarkStart w:id="8" w:name="_GoBack"/>
            <w:bookmarkEnd w:id="8"/>
          </w:p>
        </w:tc>
        <w:tc>
          <w:tcPr>
            <w:tcW w:w="969" w:type="pct"/>
            <w:tcBorders>
              <w:right w:val="single" w:sz="4" w:space="0" w:color="auto"/>
            </w:tcBorders>
          </w:tcPr>
          <w:p w14:paraId="1596A3F8" w14:textId="0878BFA3" w:rsidR="00F47220" w:rsidRPr="00E754D6" w:rsidRDefault="00F47220" w:rsidP="00F47220">
            <w:pPr>
              <w:widowControl w:val="0"/>
              <w:rPr>
                <w:i/>
                <w:color w:val="0070C0"/>
              </w:rPr>
            </w:pPr>
          </w:p>
        </w:tc>
        <w:tc>
          <w:tcPr>
            <w:tcW w:w="1395" w:type="pct"/>
            <w:tcBorders>
              <w:top w:val="single" w:sz="4" w:space="0" w:color="auto"/>
              <w:left w:val="single" w:sz="4" w:space="0" w:color="auto"/>
              <w:bottom w:val="single" w:sz="4" w:space="0" w:color="auto"/>
              <w:right w:val="single" w:sz="4" w:space="0" w:color="auto"/>
            </w:tcBorders>
          </w:tcPr>
          <w:p w14:paraId="4F1D18FD" w14:textId="1BEDAFAA" w:rsidR="00F47220" w:rsidRPr="00E754D6" w:rsidRDefault="00F47220" w:rsidP="00F47220">
            <w:pPr>
              <w:widowControl w:val="0"/>
              <w:rPr>
                <w:i/>
                <w:color w:val="0070C0"/>
              </w:rPr>
            </w:pPr>
          </w:p>
        </w:tc>
        <w:tc>
          <w:tcPr>
            <w:tcW w:w="696" w:type="pct"/>
            <w:tcBorders>
              <w:top w:val="single" w:sz="4" w:space="0" w:color="auto"/>
              <w:left w:val="single" w:sz="4" w:space="0" w:color="auto"/>
              <w:bottom w:val="single" w:sz="4" w:space="0" w:color="auto"/>
              <w:right w:val="single" w:sz="4" w:space="0" w:color="auto"/>
            </w:tcBorders>
          </w:tcPr>
          <w:p w14:paraId="2A548F15" w14:textId="2A83C372" w:rsidR="00F47220" w:rsidRPr="00E754D6" w:rsidRDefault="00F47220" w:rsidP="00F47220">
            <w:pPr>
              <w:widowControl w:val="0"/>
              <w:rPr>
                <w:i/>
                <w:color w:val="0070C0"/>
              </w:rPr>
            </w:pPr>
          </w:p>
        </w:tc>
        <w:tc>
          <w:tcPr>
            <w:tcW w:w="709" w:type="pct"/>
            <w:tcBorders>
              <w:top w:val="single" w:sz="4" w:space="0" w:color="auto"/>
              <w:left w:val="single" w:sz="4" w:space="0" w:color="auto"/>
              <w:bottom w:val="single" w:sz="4" w:space="0" w:color="auto"/>
              <w:right w:val="single" w:sz="4" w:space="0" w:color="auto"/>
            </w:tcBorders>
          </w:tcPr>
          <w:p w14:paraId="0901E50F" w14:textId="0003BD5A" w:rsidR="00F47220" w:rsidRPr="00E754D6" w:rsidRDefault="00F47220" w:rsidP="00F47220">
            <w:pPr>
              <w:widowControl w:val="0"/>
              <w:rPr>
                <w:i/>
                <w:color w:val="0070C0"/>
              </w:rPr>
            </w:pPr>
          </w:p>
        </w:tc>
      </w:tr>
      <w:tr w:rsidR="00E754D6" w:rsidRPr="00E754D6" w14:paraId="0E3DAB74" w14:textId="77777777" w:rsidTr="001F776D">
        <w:tc>
          <w:tcPr>
            <w:tcW w:w="306" w:type="pct"/>
            <w:tcBorders>
              <w:right w:val="single" w:sz="4" w:space="0" w:color="auto"/>
            </w:tcBorders>
          </w:tcPr>
          <w:p w14:paraId="7CAA7AA9" w14:textId="77777777" w:rsidR="00F47220" w:rsidRPr="00E754D6" w:rsidRDefault="00F47220" w:rsidP="00F47220">
            <w:pPr>
              <w:widowControl w:val="0"/>
              <w:rPr>
                <w:i/>
                <w:color w:val="0070C0"/>
              </w:rPr>
            </w:pPr>
            <w:r w:rsidRPr="00E754D6">
              <w:rPr>
                <w:i/>
                <w:color w:val="0070C0"/>
              </w:rPr>
              <w:t>26</w:t>
            </w:r>
          </w:p>
        </w:tc>
        <w:tc>
          <w:tcPr>
            <w:tcW w:w="926" w:type="pct"/>
            <w:tcBorders>
              <w:right w:val="single" w:sz="4" w:space="0" w:color="auto"/>
            </w:tcBorders>
          </w:tcPr>
          <w:p w14:paraId="3330A3A6" w14:textId="77777777" w:rsidR="00F47220" w:rsidRPr="00E754D6" w:rsidRDefault="00F47220" w:rsidP="00F47220">
            <w:pPr>
              <w:widowControl w:val="0"/>
              <w:rPr>
                <w:i/>
                <w:color w:val="0070C0"/>
              </w:rPr>
            </w:pPr>
            <w:r w:rsidRPr="00E754D6">
              <w:rPr>
                <w:i/>
                <w:color w:val="0070C0"/>
              </w:rPr>
              <w:t>Healthy tissue is exposed to harmful radiation</w:t>
            </w:r>
          </w:p>
        </w:tc>
        <w:tc>
          <w:tcPr>
            <w:tcW w:w="969" w:type="pct"/>
            <w:tcBorders>
              <w:right w:val="single" w:sz="4" w:space="0" w:color="auto"/>
            </w:tcBorders>
          </w:tcPr>
          <w:p w14:paraId="6C02F3B0" w14:textId="77777777" w:rsidR="00F47220" w:rsidRPr="00E754D6" w:rsidRDefault="00F47220" w:rsidP="00F47220">
            <w:pPr>
              <w:widowControl w:val="0"/>
              <w:rPr>
                <w:i/>
                <w:color w:val="0070C0"/>
              </w:rPr>
            </w:pPr>
            <w:r w:rsidRPr="00E754D6">
              <w:rPr>
                <w:i/>
                <w:color w:val="0070C0"/>
              </w:rPr>
              <w:t>Not available</w:t>
            </w:r>
          </w:p>
        </w:tc>
        <w:tc>
          <w:tcPr>
            <w:tcW w:w="1395" w:type="pct"/>
            <w:tcBorders>
              <w:top w:val="single" w:sz="4" w:space="0" w:color="auto"/>
              <w:left w:val="single" w:sz="4" w:space="0" w:color="auto"/>
              <w:bottom w:val="single" w:sz="4" w:space="0" w:color="auto"/>
              <w:right w:val="single" w:sz="4" w:space="0" w:color="auto"/>
            </w:tcBorders>
          </w:tcPr>
          <w:p w14:paraId="484BA5B7" w14:textId="77777777" w:rsidR="00F47220" w:rsidRPr="00E754D6" w:rsidRDefault="00F47220" w:rsidP="00F47220">
            <w:pPr>
              <w:widowControl w:val="0"/>
              <w:rPr>
                <w:i/>
                <w:color w:val="0070C0"/>
              </w:rPr>
            </w:pPr>
            <w:r w:rsidRPr="00E754D6">
              <w:rPr>
                <w:i/>
                <w:color w:val="0070C0"/>
              </w:rPr>
              <w:t>If SW calculations are way off, clinical staff might be able to identify the problem (P2) and reduce the likelihood of harm. Still, this is not acceptable, given the random behaviour of software failure.</w:t>
            </w:r>
          </w:p>
        </w:tc>
        <w:tc>
          <w:tcPr>
            <w:tcW w:w="696" w:type="pct"/>
            <w:tcBorders>
              <w:top w:val="single" w:sz="4" w:space="0" w:color="auto"/>
              <w:left w:val="single" w:sz="4" w:space="0" w:color="auto"/>
              <w:bottom w:val="single" w:sz="4" w:space="0" w:color="auto"/>
              <w:right w:val="single" w:sz="4" w:space="0" w:color="auto"/>
            </w:tcBorders>
          </w:tcPr>
          <w:p w14:paraId="19214436" w14:textId="77777777" w:rsidR="00F47220" w:rsidRPr="00E754D6" w:rsidRDefault="00F47220" w:rsidP="00F47220">
            <w:pPr>
              <w:widowControl w:val="0"/>
              <w:rPr>
                <w:i/>
                <w:color w:val="0070C0"/>
              </w:rPr>
            </w:pPr>
            <w:r w:rsidRPr="00E754D6">
              <w:rPr>
                <w:i/>
                <w:color w:val="0070C0"/>
              </w:rPr>
              <w:t>No</w:t>
            </w:r>
          </w:p>
        </w:tc>
        <w:tc>
          <w:tcPr>
            <w:tcW w:w="709" w:type="pct"/>
            <w:tcBorders>
              <w:top w:val="single" w:sz="4" w:space="0" w:color="auto"/>
              <w:left w:val="single" w:sz="4" w:space="0" w:color="auto"/>
              <w:bottom w:val="single" w:sz="4" w:space="0" w:color="auto"/>
              <w:right w:val="single" w:sz="4" w:space="0" w:color="auto"/>
            </w:tcBorders>
          </w:tcPr>
          <w:p w14:paraId="2C428038" w14:textId="77777777" w:rsidR="00F47220" w:rsidRPr="00E754D6" w:rsidRDefault="00F47220" w:rsidP="00F47220">
            <w:pPr>
              <w:widowControl w:val="0"/>
              <w:rPr>
                <w:i/>
                <w:color w:val="0070C0"/>
              </w:rPr>
            </w:pPr>
            <w:r w:rsidRPr="00E754D6">
              <w:rPr>
                <w:i/>
                <w:color w:val="0070C0"/>
              </w:rPr>
              <w:t>C</w:t>
            </w:r>
          </w:p>
        </w:tc>
      </w:tr>
      <w:tr w:rsidR="00E754D6" w:rsidRPr="00E754D6" w14:paraId="485BE16F" w14:textId="77777777" w:rsidTr="001F776D">
        <w:tc>
          <w:tcPr>
            <w:tcW w:w="306" w:type="pct"/>
            <w:tcBorders>
              <w:right w:val="single" w:sz="4" w:space="0" w:color="auto"/>
            </w:tcBorders>
          </w:tcPr>
          <w:p w14:paraId="6EE74313" w14:textId="77777777" w:rsidR="00F47220" w:rsidRPr="00E754D6" w:rsidRDefault="00F47220" w:rsidP="00F47220">
            <w:pPr>
              <w:widowControl w:val="0"/>
              <w:rPr>
                <w:i/>
                <w:color w:val="0070C0"/>
              </w:rPr>
            </w:pPr>
            <w:r w:rsidRPr="00E754D6">
              <w:rPr>
                <w:i/>
                <w:color w:val="0070C0"/>
              </w:rPr>
              <w:t>31</w:t>
            </w:r>
          </w:p>
        </w:tc>
        <w:tc>
          <w:tcPr>
            <w:tcW w:w="926" w:type="pct"/>
            <w:tcBorders>
              <w:right w:val="single" w:sz="4" w:space="0" w:color="auto"/>
            </w:tcBorders>
          </w:tcPr>
          <w:p w14:paraId="39052A1C" w14:textId="77777777" w:rsidR="00F47220" w:rsidRPr="00E754D6" w:rsidRDefault="00F47220" w:rsidP="00F47220">
            <w:pPr>
              <w:widowControl w:val="0"/>
              <w:rPr>
                <w:i/>
                <w:color w:val="0070C0"/>
              </w:rPr>
            </w:pPr>
            <w:r w:rsidRPr="00E754D6">
              <w:rPr>
                <w:i/>
                <w:color w:val="0070C0"/>
              </w:rPr>
              <w:t>Moving parts resulting in crush injury</w:t>
            </w:r>
          </w:p>
        </w:tc>
        <w:tc>
          <w:tcPr>
            <w:tcW w:w="969" w:type="pct"/>
            <w:tcBorders>
              <w:right w:val="single" w:sz="4" w:space="0" w:color="auto"/>
            </w:tcBorders>
          </w:tcPr>
          <w:p w14:paraId="162D57E8" w14:textId="77777777" w:rsidR="00F47220" w:rsidRPr="00E754D6" w:rsidRDefault="00F47220" w:rsidP="00F47220">
            <w:pPr>
              <w:widowControl w:val="0"/>
              <w:rPr>
                <w:i/>
                <w:color w:val="0070C0"/>
              </w:rPr>
            </w:pPr>
            <w:r w:rsidRPr="00E754D6">
              <w:rPr>
                <w:i/>
                <w:color w:val="0070C0"/>
              </w:rPr>
              <w:t>RCM-007</w:t>
            </w:r>
          </w:p>
          <w:p w14:paraId="649209B0" w14:textId="77777777" w:rsidR="00F47220" w:rsidRPr="00E754D6" w:rsidRDefault="00F47220" w:rsidP="00F47220">
            <w:pPr>
              <w:widowControl w:val="0"/>
              <w:rPr>
                <w:i/>
                <w:color w:val="0070C0"/>
              </w:rPr>
            </w:pPr>
            <w:r w:rsidRPr="00E754D6">
              <w:rPr>
                <w:i/>
                <w:color w:val="0070C0"/>
              </w:rPr>
              <w:t>Mechanical stop limits the minimum gap.</w:t>
            </w:r>
          </w:p>
        </w:tc>
        <w:tc>
          <w:tcPr>
            <w:tcW w:w="1395" w:type="pct"/>
            <w:tcBorders>
              <w:top w:val="single" w:sz="4" w:space="0" w:color="auto"/>
              <w:left w:val="single" w:sz="4" w:space="0" w:color="auto"/>
              <w:bottom w:val="single" w:sz="4" w:space="0" w:color="auto"/>
              <w:right w:val="single" w:sz="4" w:space="0" w:color="auto"/>
            </w:tcBorders>
          </w:tcPr>
          <w:p w14:paraId="518A9DCC" w14:textId="77777777" w:rsidR="00F47220" w:rsidRPr="00E754D6" w:rsidRDefault="00F47220" w:rsidP="00F47220">
            <w:pPr>
              <w:widowControl w:val="0"/>
              <w:rPr>
                <w:i/>
                <w:color w:val="0070C0"/>
              </w:rPr>
            </w:pPr>
            <w:r w:rsidRPr="00E754D6">
              <w:rPr>
                <w:i/>
                <w:color w:val="0070C0"/>
              </w:rPr>
              <w:t>P1Ext suffice to prevent serious injury (Class C). However, the minimum gap is still too small to exclude the risk of non-serious injury.</w:t>
            </w:r>
          </w:p>
        </w:tc>
        <w:tc>
          <w:tcPr>
            <w:tcW w:w="696" w:type="pct"/>
            <w:tcBorders>
              <w:top w:val="single" w:sz="4" w:space="0" w:color="auto"/>
              <w:left w:val="single" w:sz="4" w:space="0" w:color="auto"/>
              <w:bottom w:val="single" w:sz="4" w:space="0" w:color="auto"/>
              <w:right w:val="single" w:sz="4" w:space="0" w:color="auto"/>
            </w:tcBorders>
          </w:tcPr>
          <w:p w14:paraId="4DD4746C" w14:textId="77777777" w:rsidR="00F47220" w:rsidRPr="00E754D6" w:rsidRDefault="00F47220" w:rsidP="00F47220">
            <w:pPr>
              <w:widowControl w:val="0"/>
              <w:rPr>
                <w:i/>
                <w:color w:val="0070C0"/>
              </w:rPr>
            </w:pPr>
            <w:r w:rsidRPr="00E754D6">
              <w:rPr>
                <w:i/>
                <w:color w:val="0070C0"/>
              </w:rPr>
              <w:t>No</w:t>
            </w:r>
          </w:p>
        </w:tc>
        <w:tc>
          <w:tcPr>
            <w:tcW w:w="709" w:type="pct"/>
            <w:tcBorders>
              <w:top w:val="single" w:sz="4" w:space="0" w:color="auto"/>
              <w:left w:val="single" w:sz="4" w:space="0" w:color="auto"/>
              <w:bottom w:val="single" w:sz="4" w:space="0" w:color="auto"/>
              <w:right w:val="single" w:sz="4" w:space="0" w:color="auto"/>
            </w:tcBorders>
          </w:tcPr>
          <w:p w14:paraId="6A8340DA" w14:textId="77777777" w:rsidR="00F47220" w:rsidRPr="00E754D6" w:rsidRDefault="00F47220" w:rsidP="00F47220">
            <w:pPr>
              <w:widowControl w:val="0"/>
              <w:rPr>
                <w:i/>
                <w:color w:val="0070C0"/>
              </w:rPr>
            </w:pPr>
            <w:r w:rsidRPr="00E754D6">
              <w:rPr>
                <w:i/>
                <w:color w:val="0070C0"/>
              </w:rPr>
              <w:t>B</w:t>
            </w:r>
          </w:p>
        </w:tc>
      </w:tr>
    </w:tbl>
    <w:p w14:paraId="4B60F03C" w14:textId="77777777" w:rsidR="00B541D9" w:rsidRDefault="00B541D9" w:rsidP="00CA62C0"/>
    <w:p w14:paraId="7A02817D" w14:textId="18840731" w:rsidR="00F90766" w:rsidRPr="006C4E43" w:rsidRDefault="006C4E43" w:rsidP="008B255E">
      <w:pPr>
        <w:jc w:val="both"/>
        <w:rPr>
          <w:i/>
          <w:iCs/>
          <w:color w:val="0070C0"/>
        </w:rPr>
      </w:pPr>
      <w:r w:rsidRPr="006C4E43">
        <w:rPr>
          <w:i/>
          <w:iCs/>
          <w:color w:val="0070C0"/>
        </w:rPr>
        <w:t>&lt;</w:t>
      </w:r>
      <w:r w:rsidR="003412D8" w:rsidRPr="006C4E43">
        <w:rPr>
          <w:i/>
          <w:iCs/>
          <w:color w:val="0070C0"/>
        </w:rPr>
        <w:t xml:space="preserve">To determine the Level of Concern per the FDA software classification, </w:t>
      </w:r>
      <w:r w:rsidR="00F50E9F" w:rsidRPr="006C4E43">
        <w:rPr>
          <w:i/>
          <w:iCs/>
          <w:color w:val="0070C0"/>
        </w:rPr>
        <w:t>Guidance for the Content of Premarket Submissions for Software Contained in Medical Devices shall be used</w:t>
      </w:r>
      <w:r w:rsidRPr="006C4E43">
        <w:rPr>
          <w:i/>
          <w:iCs/>
          <w:color w:val="0070C0"/>
        </w:rPr>
        <w:t xml:space="preserve"> (Table 1 and 2)</w:t>
      </w:r>
    </w:p>
    <w:p w14:paraId="5158C3D2" w14:textId="288C1AEC" w:rsidR="00F50E9F" w:rsidRPr="006C4E43" w:rsidRDefault="006C4E43" w:rsidP="008B255E">
      <w:pPr>
        <w:jc w:val="both"/>
        <w:rPr>
          <w:i/>
          <w:iCs/>
          <w:color w:val="0070C0"/>
        </w:rPr>
      </w:pPr>
      <w:proofErr w:type="gramStart"/>
      <w:r w:rsidRPr="006C4E43">
        <w:rPr>
          <w:i/>
          <w:iCs/>
          <w:color w:val="0070C0"/>
        </w:rPr>
        <w:t>e.g</w:t>
      </w:r>
      <w:proofErr w:type="gramEnd"/>
      <w:r w:rsidRPr="006C4E43">
        <w:rPr>
          <w:i/>
          <w:iCs/>
          <w:color w:val="0070C0"/>
        </w:rPr>
        <w:t xml:space="preserve">. </w:t>
      </w:r>
      <w:r w:rsidR="007613C7" w:rsidRPr="006C4E43">
        <w:rPr>
          <w:i/>
          <w:iCs/>
          <w:color w:val="0070C0"/>
        </w:rPr>
        <w:t>Table 1</w:t>
      </w:r>
      <w:r w:rsidRPr="006C4E43">
        <w:rPr>
          <w:i/>
          <w:iCs/>
          <w:color w:val="0070C0"/>
        </w:rPr>
        <w:t>:</w:t>
      </w:r>
      <w:r w:rsidR="007613C7" w:rsidRPr="006C4E43">
        <w:rPr>
          <w:i/>
          <w:iCs/>
          <w:color w:val="0070C0"/>
        </w:rPr>
        <w:t xml:space="preserve"> </w:t>
      </w:r>
      <w:r w:rsidR="006F7393" w:rsidRPr="006C4E43">
        <w:rPr>
          <w:i/>
          <w:iCs/>
          <w:color w:val="0070C0"/>
        </w:rPr>
        <w:t>a device is of Major level of concern if “Prior to mitigation of hazards, could a failure of the Software Device result in death or serious injury, either to a patient or to a user of the device?”.</w:t>
      </w:r>
    </w:p>
    <w:p w14:paraId="6C2B5F05" w14:textId="77777777" w:rsidR="00EC321F" w:rsidRDefault="007613C7" w:rsidP="008B255E">
      <w:pPr>
        <w:jc w:val="both"/>
        <w:rPr>
          <w:i/>
          <w:iCs/>
          <w:color w:val="0070C0"/>
          <w:lang w:val="en-US"/>
        </w:rPr>
      </w:pPr>
      <w:r w:rsidRPr="006C4E43">
        <w:rPr>
          <w:i/>
          <w:iCs/>
          <w:color w:val="0070C0"/>
          <w:lang w:val="en-US"/>
        </w:rPr>
        <w:t>Table 2: A device is of Major level of concern if “Prior to mitigation of hazards, could a failure of the Software Device result in death or serious injury, either to a patient or to a user of the device?”.</w:t>
      </w:r>
    </w:p>
    <w:p w14:paraId="25ED19F9" w14:textId="343C3DD6" w:rsidR="007613C7" w:rsidRPr="006C4E43" w:rsidRDefault="00EC321F" w:rsidP="008B255E">
      <w:pPr>
        <w:jc w:val="both"/>
        <w:rPr>
          <w:i/>
          <w:iCs/>
          <w:color w:val="0070C0"/>
          <w:lang w:val="en-US"/>
        </w:rPr>
      </w:pPr>
      <w:r>
        <w:rPr>
          <w:i/>
          <w:iCs/>
          <w:color w:val="0070C0"/>
          <w:lang w:val="en-US"/>
        </w:rPr>
        <w:t xml:space="preserve">The FDA required that </w:t>
      </w:r>
      <w:r w:rsidR="00E754D6">
        <w:rPr>
          <w:i/>
          <w:iCs/>
          <w:color w:val="0070C0"/>
          <w:lang w:val="en-US"/>
        </w:rPr>
        <w:t>rationale for the decision is documented and decision-making process is evident in the provided documentation</w:t>
      </w:r>
      <w:r w:rsidR="006C4E43" w:rsidRPr="006C4E43">
        <w:rPr>
          <w:i/>
          <w:iCs/>
          <w:color w:val="0070C0"/>
          <w:lang w:val="en-US"/>
        </w:rPr>
        <w:t>&gt;</w:t>
      </w:r>
    </w:p>
    <w:p w14:paraId="77986624" w14:textId="6AEFE75A" w:rsidR="004252DC" w:rsidRPr="00A727D1" w:rsidRDefault="00DE2965" w:rsidP="00F036E6">
      <w:pPr>
        <w:pStyle w:val="Heading2"/>
      </w:pPr>
      <w:r>
        <w:t>Safety Classification</w:t>
      </w:r>
    </w:p>
    <w:p w14:paraId="61A7E7AD" w14:textId="6F293CFF" w:rsidR="00A50550" w:rsidRPr="00E754D6" w:rsidRDefault="003A6A52" w:rsidP="00A205CF">
      <w:pPr>
        <w:widowControl w:val="0"/>
        <w:rPr>
          <w:b/>
          <w:bCs/>
          <w:iCs/>
          <w:color w:val="0070C0"/>
        </w:rPr>
      </w:pPr>
      <w:r w:rsidRPr="00E754D6">
        <w:rPr>
          <w:b/>
          <w:bCs/>
          <w:iCs/>
          <w:color w:val="0070C0"/>
        </w:rPr>
        <w:t>Safety Class According to IEC 62304:</w:t>
      </w:r>
    </w:p>
    <w:tbl>
      <w:tblPr>
        <w:tblStyle w:val="TableGrid"/>
        <w:tblW w:w="0" w:type="auto"/>
        <w:tblLook w:val="04A0" w:firstRow="1" w:lastRow="0" w:firstColumn="1" w:lastColumn="0" w:noHBand="0" w:noVBand="1"/>
      </w:tblPr>
      <w:tblGrid>
        <w:gridCol w:w="3100"/>
        <w:gridCol w:w="2937"/>
        <w:gridCol w:w="2979"/>
      </w:tblGrid>
      <w:tr w:rsidR="00E754D6" w:rsidRPr="00E754D6" w14:paraId="67D6F4B7" w14:textId="77777777" w:rsidTr="00AE2F2E">
        <w:trPr>
          <w:tblHeader/>
        </w:trPr>
        <w:tc>
          <w:tcPr>
            <w:tcW w:w="3100" w:type="dxa"/>
            <w:shd w:val="clear" w:color="auto" w:fill="F2F2F2" w:themeFill="background1" w:themeFillShade="F2"/>
          </w:tcPr>
          <w:p w14:paraId="5FEA475C" w14:textId="77777777" w:rsidR="00C07B8B" w:rsidRPr="00E754D6" w:rsidRDefault="00C07B8B" w:rsidP="00C07B8B">
            <w:pPr>
              <w:widowControl w:val="0"/>
              <w:spacing w:after="160" w:line="259" w:lineRule="auto"/>
              <w:rPr>
                <w:b/>
                <w:bCs/>
                <w:i/>
                <w:color w:val="0070C0"/>
                <w:lang w:val="en"/>
              </w:rPr>
            </w:pPr>
            <w:r w:rsidRPr="00E754D6">
              <w:rPr>
                <w:b/>
                <w:bCs/>
                <w:i/>
                <w:color w:val="0070C0"/>
                <w:lang w:val="en"/>
              </w:rPr>
              <w:t>System/Item/Unit Name</w:t>
            </w:r>
          </w:p>
        </w:tc>
        <w:tc>
          <w:tcPr>
            <w:tcW w:w="2937" w:type="dxa"/>
            <w:shd w:val="clear" w:color="auto" w:fill="F2F2F2" w:themeFill="background1" w:themeFillShade="F2"/>
          </w:tcPr>
          <w:p w14:paraId="39C07395" w14:textId="2D5A22D0" w:rsidR="00C07B8B" w:rsidRPr="00E754D6" w:rsidRDefault="00C07B8B" w:rsidP="00C07B8B">
            <w:pPr>
              <w:widowControl w:val="0"/>
              <w:spacing w:after="160" w:line="259" w:lineRule="auto"/>
              <w:rPr>
                <w:b/>
                <w:bCs/>
                <w:i/>
                <w:color w:val="0070C0"/>
                <w:lang w:val="en"/>
              </w:rPr>
            </w:pPr>
            <w:r w:rsidRPr="00E754D6">
              <w:rPr>
                <w:b/>
                <w:bCs/>
                <w:i/>
                <w:color w:val="0070C0"/>
                <w:lang w:val="en"/>
              </w:rPr>
              <w:t xml:space="preserve">Class </w:t>
            </w:r>
          </w:p>
        </w:tc>
        <w:tc>
          <w:tcPr>
            <w:tcW w:w="2979" w:type="dxa"/>
            <w:shd w:val="clear" w:color="auto" w:fill="F2F2F2" w:themeFill="background1" w:themeFillShade="F2"/>
          </w:tcPr>
          <w:p w14:paraId="271EE8D5" w14:textId="77777777" w:rsidR="00C07B8B" w:rsidRPr="00E754D6" w:rsidRDefault="00C07B8B" w:rsidP="00C07B8B">
            <w:pPr>
              <w:widowControl w:val="0"/>
              <w:spacing w:after="160" w:line="259" w:lineRule="auto"/>
              <w:rPr>
                <w:b/>
                <w:bCs/>
                <w:i/>
                <w:color w:val="0070C0"/>
                <w:lang w:val="en"/>
              </w:rPr>
            </w:pPr>
            <w:r w:rsidRPr="00E754D6">
              <w:rPr>
                <w:b/>
                <w:bCs/>
                <w:i/>
                <w:color w:val="0070C0"/>
                <w:lang w:val="en"/>
              </w:rPr>
              <w:t>Rationale</w:t>
            </w:r>
          </w:p>
        </w:tc>
      </w:tr>
      <w:tr w:rsidR="00E754D6" w:rsidRPr="00E754D6" w14:paraId="78C487C0" w14:textId="77777777" w:rsidTr="00C07B8B">
        <w:tc>
          <w:tcPr>
            <w:tcW w:w="3100" w:type="dxa"/>
          </w:tcPr>
          <w:p w14:paraId="3C76F94E" w14:textId="77777777" w:rsidR="00C07B8B" w:rsidRPr="00E754D6" w:rsidRDefault="00C07B8B" w:rsidP="00C07B8B">
            <w:pPr>
              <w:widowControl w:val="0"/>
              <w:spacing w:after="160" w:line="259" w:lineRule="auto"/>
              <w:rPr>
                <w:i/>
                <w:color w:val="0070C0"/>
                <w:lang w:val="en"/>
              </w:rPr>
            </w:pPr>
          </w:p>
        </w:tc>
        <w:tc>
          <w:tcPr>
            <w:tcW w:w="2937" w:type="dxa"/>
          </w:tcPr>
          <w:p w14:paraId="3B470399" w14:textId="4A3DA44C" w:rsidR="00C07B8B" w:rsidRPr="00E754D6" w:rsidRDefault="00C07B8B" w:rsidP="00C07B8B">
            <w:pPr>
              <w:widowControl w:val="0"/>
              <w:spacing w:after="160" w:line="259" w:lineRule="auto"/>
              <w:rPr>
                <w:i/>
                <w:color w:val="0070C0"/>
                <w:lang w:val="en"/>
              </w:rPr>
            </w:pPr>
            <w:r w:rsidRPr="00E754D6">
              <w:rPr>
                <w:i/>
                <w:color w:val="0070C0"/>
                <w:lang w:val="en"/>
              </w:rPr>
              <w:t>(A,B,C)</w:t>
            </w:r>
          </w:p>
        </w:tc>
        <w:tc>
          <w:tcPr>
            <w:tcW w:w="2979" w:type="dxa"/>
          </w:tcPr>
          <w:p w14:paraId="2E61CB64" w14:textId="77777777" w:rsidR="00C07B8B" w:rsidRPr="00E754D6" w:rsidRDefault="00C07B8B" w:rsidP="00C07B8B">
            <w:pPr>
              <w:widowControl w:val="0"/>
              <w:spacing w:after="160" w:line="259" w:lineRule="auto"/>
              <w:rPr>
                <w:i/>
                <w:color w:val="0070C0"/>
                <w:lang w:val="en"/>
              </w:rPr>
            </w:pPr>
          </w:p>
        </w:tc>
      </w:tr>
      <w:tr w:rsidR="00C07B8B" w:rsidRPr="00C07B8B" w14:paraId="5F8636A4" w14:textId="77777777" w:rsidTr="00C07B8B">
        <w:tc>
          <w:tcPr>
            <w:tcW w:w="3100" w:type="dxa"/>
          </w:tcPr>
          <w:p w14:paraId="2698DB72" w14:textId="77777777" w:rsidR="00C07B8B" w:rsidRPr="00C07B8B" w:rsidRDefault="00C07B8B" w:rsidP="00C07B8B">
            <w:pPr>
              <w:widowControl w:val="0"/>
              <w:spacing w:after="160" w:line="259" w:lineRule="auto"/>
              <w:rPr>
                <w:i/>
                <w:color w:val="0000FF"/>
                <w:lang w:val="en"/>
              </w:rPr>
            </w:pPr>
          </w:p>
        </w:tc>
        <w:tc>
          <w:tcPr>
            <w:tcW w:w="2937" w:type="dxa"/>
          </w:tcPr>
          <w:p w14:paraId="51276048" w14:textId="77777777" w:rsidR="00C07B8B" w:rsidRPr="00C07B8B" w:rsidRDefault="00C07B8B" w:rsidP="00C07B8B">
            <w:pPr>
              <w:widowControl w:val="0"/>
              <w:spacing w:after="160" w:line="259" w:lineRule="auto"/>
              <w:rPr>
                <w:i/>
                <w:color w:val="0000FF"/>
                <w:lang w:val="en"/>
              </w:rPr>
            </w:pPr>
          </w:p>
        </w:tc>
        <w:tc>
          <w:tcPr>
            <w:tcW w:w="2979" w:type="dxa"/>
          </w:tcPr>
          <w:p w14:paraId="6EA58903" w14:textId="77777777" w:rsidR="00C07B8B" w:rsidRPr="00C07B8B" w:rsidRDefault="00C07B8B" w:rsidP="00C07B8B">
            <w:pPr>
              <w:widowControl w:val="0"/>
              <w:spacing w:after="160" w:line="259" w:lineRule="auto"/>
              <w:rPr>
                <w:i/>
                <w:color w:val="0000FF"/>
                <w:lang w:val="en"/>
              </w:rPr>
            </w:pPr>
          </w:p>
        </w:tc>
      </w:tr>
    </w:tbl>
    <w:p w14:paraId="711A6371" w14:textId="77777777" w:rsidR="008B255E" w:rsidRDefault="008B255E" w:rsidP="00A205CF">
      <w:pPr>
        <w:widowControl w:val="0"/>
        <w:rPr>
          <w:b/>
          <w:bCs/>
          <w:iCs/>
          <w:color w:val="0070C0"/>
        </w:rPr>
      </w:pPr>
    </w:p>
    <w:p w14:paraId="2915433C" w14:textId="3633824C" w:rsidR="00421E5F" w:rsidRPr="00E754D6" w:rsidRDefault="00421E5F" w:rsidP="00A205CF">
      <w:pPr>
        <w:widowControl w:val="0"/>
        <w:rPr>
          <w:b/>
          <w:bCs/>
          <w:iCs/>
          <w:color w:val="0070C0"/>
        </w:rPr>
      </w:pPr>
      <w:r w:rsidRPr="00E754D6">
        <w:rPr>
          <w:b/>
          <w:bCs/>
          <w:iCs/>
          <w:color w:val="0070C0"/>
        </w:rPr>
        <w:t>Level of Concern According to FDA:</w:t>
      </w:r>
    </w:p>
    <w:tbl>
      <w:tblPr>
        <w:tblStyle w:val="TableGrid"/>
        <w:tblW w:w="0" w:type="auto"/>
        <w:tblLook w:val="04A0" w:firstRow="1" w:lastRow="0" w:firstColumn="1" w:lastColumn="0" w:noHBand="0" w:noVBand="1"/>
      </w:tblPr>
      <w:tblGrid>
        <w:gridCol w:w="3100"/>
        <w:gridCol w:w="2937"/>
        <w:gridCol w:w="2979"/>
      </w:tblGrid>
      <w:tr w:rsidR="00E754D6" w:rsidRPr="00E754D6" w14:paraId="3175338F" w14:textId="77777777" w:rsidTr="00AE2F2E">
        <w:trPr>
          <w:tblHeader/>
        </w:trPr>
        <w:tc>
          <w:tcPr>
            <w:tcW w:w="3100" w:type="dxa"/>
            <w:shd w:val="clear" w:color="auto" w:fill="F2F2F2" w:themeFill="background1" w:themeFillShade="F2"/>
          </w:tcPr>
          <w:p w14:paraId="1CE98CEC" w14:textId="77777777" w:rsidR="00C07B8B" w:rsidRPr="00E754D6" w:rsidRDefault="00C07B8B" w:rsidP="001F776D">
            <w:pPr>
              <w:widowControl w:val="0"/>
              <w:spacing w:after="160" w:line="259" w:lineRule="auto"/>
              <w:rPr>
                <w:b/>
                <w:bCs/>
                <w:i/>
                <w:color w:val="0070C0"/>
                <w:lang w:val="en"/>
              </w:rPr>
            </w:pPr>
            <w:r w:rsidRPr="00E754D6">
              <w:rPr>
                <w:b/>
                <w:bCs/>
                <w:i/>
                <w:color w:val="0070C0"/>
                <w:lang w:val="en"/>
              </w:rPr>
              <w:t>System/Item/Unit Name</w:t>
            </w:r>
          </w:p>
        </w:tc>
        <w:tc>
          <w:tcPr>
            <w:tcW w:w="2937" w:type="dxa"/>
            <w:shd w:val="clear" w:color="auto" w:fill="F2F2F2" w:themeFill="background1" w:themeFillShade="F2"/>
          </w:tcPr>
          <w:p w14:paraId="46CFF48E" w14:textId="77777777" w:rsidR="00C07B8B" w:rsidRPr="00E754D6" w:rsidRDefault="00C07B8B" w:rsidP="001F776D">
            <w:pPr>
              <w:widowControl w:val="0"/>
              <w:spacing w:after="160" w:line="259" w:lineRule="auto"/>
              <w:rPr>
                <w:b/>
                <w:bCs/>
                <w:i/>
                <w:color w:val="0070C0"/>
                <w:lang w:val="en"/>
              </w:rPr>
            </w:pPr>
            <w:r w:rsidRPr="00E754D6">
              <w:rPr>
                <w:b/>
                <w:bCs/>
                <w:i/>
                <w:color w:val="0070C0"/>
                <w:lang w:val="en"/>
              </w:rPr>
              <w:t xml:space="preserve">Class </w:t>
            </w:r>
          </w:p>
        </w:tc>
        <w:tc>
          <w:tcPr>
            <w:tcW w:w="2979" w:type="dxa"/>
            <w:shd w:val="clear" w:color="auto" w:fill="F2F2F2" w:themeFill="background1" w:themeFillShade="F2"/>
          </w:tcPr>
          <w:p w14:paraId="32E5B59E" w14:textId="77777777" w:rsidR="00C07B8B" w:rsidRPr="00E754D6" w:rsidRDefault="00C07B8B" w:rsidP="001F776D">
            <w:pPr>
              <w:widowControl w:val="0"/>
              <w:spacing w:after="160" w:line="259" w:lineRule="auto"/>
              <w:rPr>
                <w:b/>
                <w:bCs/>
                <w:i/>
                <w:color w:val="0070C0"/>
                <w:lang w:val="en"/>
              </w:rPr>
            </w:pPr>
            <w:r w:rsidRPr="00E754D6">
              <w:rPr>
                <w:b/>
                <w:bCs/>
                <w:i/>
                <w:color w:val="0070C0"/>
                <w:lang w:val="en"/>
              </w:rPr>
              <w:t>Rationale</w:t>
            </w:r>
          </w:p>
        </w:tc>
      </w:tr>
      <w:tr w:rsidR="00E754D6" w:rsidRPr="00E754D6" w14:paraId="69DF8199" w14:textId="77777777" w:rsidTr="001F776D">
        <w:tc>
          <w:tcPr>
            <w:tcW w:w="3100" w:type="dxa"/>
          </w:tcPr>
          <w:p w14:paraId="7847C186" w14:textId="77777777" w:rsidR="00C07B8B" w:rsidRPr="00E754D6" w:rsidRDefault="00C07B8B" w:rsidP="001F776D">
            <w:pPr>
              <w:widowControl w:val="0"/>
              <w:spacing w:after="160" w:line="259" w:lineRule="auto"/>
              <w:rPr>
                <w:i/>
                <w:color w:val="0070C0"/>
                <w:lang w:val="en"/>
              </w:rPr>
            </w:pPr>
          </w:p>
        </w:tc>
        <w:tc>
          <w:tcPr>
            <w:tcW w:w="2937" w:type="dxa"/>
          </w:tcPr>
          <w:p w14:paraId="73D823F1" w14:textId="3BEC15DD" w:rsidR="00C07B8B" w:rsidRPr="00E754D6" w:rsidRDefault="00C07B8B" w:rsidP="001F776D">
            <w:pPr>
              <w:widowControl w:val="0"/>
              <w:spacing w:after="160" w:line="259" w:lineRule="auto"/>
              <w:rPr>
                <w:i/>
                <w:color w:val="0070C0"/>
                <w:lang w:val="en"/>
              </w:rPr>
            </w:pPr>
            <w:r w:rsidRPr="00E754D6">
              <w:rPr>
                <w:i/>
                <w:color w:val="0070C0"/>
                <w:lang w:val="en"/>
              </w:rPr>
              <w:t>(Minor, Moderate, Major)</w:t>
            </w:r>
          </w:p>
        </w:tc>
        <w:tc>
          <w:tcPr>
            <w:tcW w:w="2979" w:type="dxa"/>
          </w:tcPr>
          <w:p w14:paraId="45E7D4E7" w14:textId="77777777" w:rsidR="00C07B8B" w:rsidRPr="00E754D6" w:rsidRDefault="00C07B8B" w:rsidP="001F776D">
            <w:pPr>
              <w:widowControl w:val="0"/>
              <w:spacing w:after="160" w:line="259" w:lineRule="auto"/>
              <w:rPr>
                <w:i/>
                <w:color w:val="0070C0"/>
                <w:lang w:val="en"/>
              </w:rPr>
            </w:pPr>
          </w:p>
        </w:tc>
      </w:tr>
      <w:tr w:rsidR="00C07B8B" w:rsidRPr="00C07B8B" w14:paraId="08D504DE" w14:textId="77777777" w:rsidTr="001F776D">
        <w:tc>
          <w:tcPr>
            <w:tcW w:w="3100" w:type="dxa"/>
          </w:tcPr>
          <w:p w14:paraId="3E7BC910" w14:textId="77777777" w:rsidR="00C07B8B" w:rsidRPr="00C07B8B" w:rsidRDefault="00C07B8B" w:rsidP="001F776D">
            <w:pPr>
              <w:widowControl w:val="0"/>
              <w:spacing w:after="160" w:line="259" w:lineRule="auto"/>
              <w:rPr>
                <w:i/>
                <w:color w:val="0000FF"/>
                <w:lang w:val="en"/>
              </w:rPr>
            </w:pPr>
          </w:p>
        </w:tc>
        <w:tc>
          <w:tcPr>
            <w:tcW w:w="2937" w:type="dxa"/>
          </w:tcPr>
          <w:p w14:paraId="2DDD35AB" w14:textId="77777777" w:rsidR="00C07B8B" w:rsidRPr="00C07B8B" w:rsidRDefault="00C07B8B" w:rsidP="001F776D">
            <w:pPr>
              <w:widowControl w:val="0"/>
              <w:spacing w:after="160" w:line="259" w:lineRule="auto"/>
              <w:rPr>
                <w:i/>
                <w:color w:val="0000FF"/>
                <w:lang w:val="en"/>
              </w:rPr>
            </w:pPr>
          </w:p>
        </w:tc>
        <w:tc>
          <w:tcPr>
            <w:tcW w:w="2979" w:type="dxa"/>
          </w:tcPr>
          <w:p w14:paraId="1A60A635" w14:textId="77777777" w:rsidR="00C07B8B" w:rsidRPr="00C07B8B" w:rsidRDefault="00C07B8B" w:rsidP="001F776D">
            <w:pPr>
              <w:widowControl w:val="0"/>
              <w:spacing w:after="160" w:line="259" w:lineRule="auto"/>
              <w:rPr>
                <w:i/>
                <w:color w:val="0000FF"/>
                <w:lang w:val="en"/>
              </w:rPr>
            </w:pPr>
          </w:p>
        </w:tc>
      </w:tr>
    </w:tbl>
    <w:p w14:paraId="118E0031" w14:textId="77777777" w:rsidR="00C07B8B" w:rsidRPr="00421E5F" w:rsidRDefault="00C07B8B" w:rsidP="00A205CF">
      <w:pPr>
        <w:widowControl w:val="0"/>
        <w:rPr>
          <w:b/>
          <w:bCs/>
          <w:iCs/>
          <w:color w:val="0000FF"/>
        </w:rPr>
      </w:pPr>
    </w:p>
    <w:p w14:paraId="3F264B8E" w14:textId="50DB1094" w:rsidR="005B6C6C" w:rsidRDefault="005B6C6C" w:rsidP="00AE2F2E">
      <w:pPr>
        <w:pStyle w:val="Heading1"/>
        <w:spacing w:after="120"/>
        <w:ind w:left="431" w:hanging="431"/>
        <w:rPr>
          <w:color w:val="000000" w:themeColor="text1"/>
        </w:rPr>
      </w:pPr>
      <w:bookmarkStart w:id="9" w:name="_Toc116466072"/>
      <w:r>
        <w:rPr>
          <w:color w:val="000000" w:themeColor="text1"/>
        </w:rPr>
        <w:lastRenderedPageBreak/>
        <w:t>Approvals</w:t>
      </w:r>
    </w:p>
    <w:tbl>
      <w:tblPr>
        <w:tblStyle w:val="TableGrid"/>
        <w:tblW w:w="0" w:type="auto"/>
        <w:tblLook w:val="04A0" w:firstRow="1" w:lastRow="0" w:firstColumn="1" w:lastColumn="0" w:noHBand="0" w:noVBand="1"/>
      </w:tblPr>
      <w:tblGrid>
        <w:gridCol w:w="2294"/>
        <w:gridCol w:w="2220"/>
        <w:gridCol w:w="2309"/>
        <w:gridCol w:w="2193"/>
      </w:tblGrid>
      <w:tr w:rsidR="00AE2F2E" w:rsidRPr="00AE2F2E" w14:paraId="7C78B46F" w14:textId="77777777" w:rsidTr="00AE2F2E">
        <w:tc>
          <w:tcPr>
            <w:tcW w:w="2294" w:type="dxa"/>
            <w:shd w:val="clear" w:color="auto" w:fill="F2F2F2" w:themeFill="background1" w:themeFillShade="F2"/>
            <w:vAlign w:val="center"/>
          </w:tcPr>
          <w:p w14:paraId="3D46F690" w14:textId="77777777" w:rsidR="00AE2F2E" w:rsidRPr="00AE2F2E" w:rsidRDefault="00AE2F2E" w:rsidP="00AE2F2E">
            <w:pPr>
              <w:spacing w:after="160" w:line="259" w:lineRule="auto"/>
              <w:rPr>
                <w:b/>
                <w:bCs/>
                <w:lang w:val="en"/>
              </w:rPr>
            </w:pPr>
            <w:r w:rsidRPr="00AE2F2E">
              <w:rPr>
                <w:b/>
                <w:bCs/>
                <w:lang w:val="en"/>
              </w:rPr>
              <w:t>Role</w:t>
            </w:r>
          </w:p>
        </w:tc>
        <w:tc>
          <w:tcPr>
            <w:tcW w:w="2220" w:type="dxa"/>
            <w:shd w:val="clear" w:color="auto" w:fill="F2F2F2" w:themeFill="background1" w:themeFillShade="F2"/>
            <w:vAlign w:val="center"/>
          </w:tcPr>
          <w:p w14:paraId="666DD391" w14:textId="77777777" w:rsidR="00AE2F2E" w:rsidRPr="00AE2F2E" w:rsidRDefault="00AE2F2E" w:rsidP="00AE2F2E">
            <w:pPr>
              <w:spacing w:after="160" w:line="259" w:lineRule="auto"/>
              <w:rPr>
                <w:b/>
                <w:bCs/>
                <w:lang w:val="en"/>
              </w:rPr>
            </w:pPr>
            <w:r w:rsidRPr="00AE2F2E">
              <w:rPr>
                <w:b/>
                <w:bCs/>
                <w:lang w:val="en"/>
              </w:rPr>
              <w:t>Name</w:t>
            </w:r>
          </w:p>
        </w:tc>
        <w:tc>
          <w:tcPr>
            <w:tcW w:w="2309" w:type="dxa"/>
            <w:shd w:val="clear" w:color="auto" w:fill="F2F2F2" w:themeFill="background1" w:themeFillShade="F2"/>
            <w:vAlign w:val="center"/>
          </w:tcPr>
          <w:p w14:paraId="1E5A590A" w14:textId="77777777" w:rsidR="00AE2F2E" w:rsidRPr="00AE2F2E" w:rsidRDefault="00AE2F2E" w:rsidP="00AE2F2E">
            <w:pPr>
              <w:spacing w:after="160" w:line="259" w:lineRule="auto"/>
              <w:rPr>
                <w:b/>
                <w:bCs/>
                <w:lang w:val="en"/>
              </w:rPr>
            </w:pPr>
            <w:r w:rsidRPr="00AE2F2E">
              <w:rPr>
                <w:b/>
                <w:bCs/>
                <w:lang w:val="en"/>
              </w:rPr>
              <w:t>Signature</w:t>
            </w:r>
          </w:p>
        </w:tc>
        <w:tc>
          <w:tcPr>
            <w:tcW w:w="2193" w:type="dxa"/>
            <w:shd w:val="clear" w:color="auto" w:fill="F2F2F2" w:themeFill="background1" w:themeFillShade="F2"/>
            <w:vAlign w:val="center"/>
          </w:tcPr>
          <w:p w14:paraId="0B1695AD" w14:textId="77777777" w:rsidR="00AE2F2E" w:rsidRPr="00AE2F2E" w:rsidRDefault="00AE2F2E" w:rsidP="00AE2F2E">
            <w:pPr>
              <w:spacing w:after="160" w:line="259" w:lineRule="auto"/>
              <w:rPr>
                <w:b/>
                <w:bCs/>
                <w:lang w:val="en"/>
              </w:rPr>
            </w:pPr>
            <w:r w:rsidRPr="00AE2F2E">
              <w:rPr>
                <w:b/>
                <w:bCs/>
                <w:lang w:val="en"/>
              </w:rPr>
              <w:t>Date</w:t>
            </w:r>
          </w:p>
        </w:tc>
      </w:tr>
      <w:tr w:rsidR="00AE2F2E" w:rsidRPr="00AE2F2E" w14:paraId="22734F16" w14:textId="77777777" w:rsidTr="00AE2F2E">
        <w:tc>
          <w:tcPr>
            <w:tcW w:w="2294" w:type="dxa"/>
            <w:vAlign w:val="center"/>
          </w:tcPr>
          <w:p w14:paraId="3DAEF512" w14:textId="3D494AC4" w:rsidR="00AE2F2E" w:rsidRPr="00AE2F2E" w:rsidRDefault="00AE2F2E" w:rsidP="00504C76">
            <w:pPr>
              <w:spacing w:after="160" w:line="259" w:lineRule="auto"/>
              <w:rPr>
                <w:b/>
                <w:bCs/>
                <w:lang w:val="en"/>
              </w:rPr>
            </w:pPr>
            <w:r w:rsidRPr="00AE2F2E">
              <w:rPr>
                <w:b/>
                <w:bCs/>
                <w:lang w:val="en"/>
              </w:rPr>
              <w:t xml:space="preserve">Software </w:t>
            </w:r>
            <w:r w:rsidR="00504C76">
              <w:rPr>
                <w:b/>
                <w:bCs/>
                <w:lang w:val="en"/>
              </w:rPr>
              <w:t>Development Manager</w:t>
            </w:r>
          </w:p>
        </w:tc>
        <w:tc>
          <w:tcPr>
            <w:tcW w:w="2220" w:type="dxa"/>
            <w:vAlign w:val="center"/>
          </w:tcPr>
          <w:p w14:paraId="7BFC78FF" w14:textId="77777777" w:rsidR="00AE2F2E" w:rsidRPr="00AE2F2E" w:rsidRDefault="00AE2F2E" w:rsidP="00AE2F2E">
            <w:pPr>
              <w:spacing w:after="160" w:line="259" w:lineRule="auto"/>
              <w:rPr>
                <w:lang w:val="en"/>
              </w:rPr>
            </w:pPr>
          </w:p>
        </w:tc>
        <w:tc>
          <w:tcPr>
            <w:tcW w:w="2309" w:type="dxa"/>
            <w:vAlign w:val="center"/>
          </w:tcPr>
          <w:p w14:paraId="1FBAB717" w14:textId="77777777" w:rsidR="00AE2F2E" w:rsidRPr="00AE2F2E" w:rsidRDefault="00AE2F2E" w:rsidP="00AE2F2E">
            <w:pPr>
              <w:spacing w:after="160" w:line="259" w:lineRule="auto"/>
              <w:rPr>
                <w:lang w:val="en"/>
              </w:rPr>
            </w:pPr>
          </w:p>
        </w:tc>
        <w:tc>
          <w:tcPr>
            <w:tcW w:w="2193" w:type="dxa"/>
            <w:vAlign w:val="center"/>
          </w:tcPr>
          <w:p w14:paraId="590EA8EC" w14:textId="77777777" w:rsidR="00AE2F2E" w:rsidRPr="00AE2F2E" w:rsidRDefault="00AE2F2E" w:rsidP="00AE2F2E">
            <w:pPr>
              <w:spacing w:after="160" w:line="259" w:lineRule="auto"/>
              <w:rPr>
                <w:lang w:val="en"/>
              </w:rPr>
            </w:pPr>
          </w:p>
        </w:tc>
      </w:tr>
      <w:tr w:rsidR="00AE2F2E" w:rsidRPr="00AE2F2E" w14:paraId="65307E95" w14:textId="77777777" w:rsidTr="00AE2F2E">
        <w:tc>
          <w:tcPr>
            <w:tcW w:w="2294" w:type="dxa"/>
            <w:vAlign w:val="center"/>
          </w:tcPr>
          <w:p w14:paraId="4C288301" w14:textId="09A427CB" w:rsidR="00AE2F2E" w:rsidRPr="00AE2F2E" w:rsidRDefault="00504C76" w:rsidP="00504C76">
            <w:pPr>
              <w:spacing w:after="160" w:line="259" w:lineRule="auto"/>
              <w:rPr>
                <w:b/>
                <w:bCs/>
                <w:lang w:val="en"/>
              </w:rPr>
            </w:pPr>
            <w:r>
              <w:rPr>
                <w:b/>
                <w:bCs/>
                <w:lang w:val="en"/>
              </w:rPr>
              <w:t>CEO</w:t>
            </w:r>
          </w:p>
        </w:tc>
        <w:tc>
          <w:tcPr>
            <w:tcW w:w="2220" w:type="dxa"/>
            <w:vAlign w:val="center"/>
          </w:tcPr>
          <w:p w14:paraId="493690E8" w14:textId="77777777" w:rsidR="00AE2F2E" w:rsidRPr="00AE2F2E" w:rsidRDefault="00AE2F2E" w:rsidP="00AE2F2E">
            <w:pPr>
              <w:spacing w:after="160" w:line="259" w:lineRule="auto"/>
              <w:rPr>
                <w:lang w:val="en"/>
              </w:rPr>
            </w:pPr>
          </w:p>
        </w:tc>
        <w:tc>
          <w:tcPr>
            <w:tcW w:w="2309" w:type="dxa"/>
            <w:vAlign w:val="center"/>
          </w:tcPr>
          <w:p w14:paraId="4D62026D" w14:textId="77777777" w:rsidR="00AE2F2E" w:rsidRPr="00AE2F2E" w:rsidRDefault="00AE2F2E" w:rsidP="00AE2F2E">
            <w:pPr>
              <w:spacing w:after="160" w:line="259" w:lineRule="auto"/>
              <w:rPr>
                <w:lang w:val="en"/>
              </w:rPr>
            </w:pPr>
          </w:p>
        </w:tc>
        <w:tc>
          <w:tcPr>
            <w:tcW w:w="2193" w:type="dxa"/>
            <w:vAlign w:val="center"/>
          </w:tcPr>
          <w:p w14:paraId="4403E9E3" w14:textId="77777777" w:rsidR="00AE2F2E" w:rsidRPr="00AE2F2E" w:rsidRDefault="00AE2F2E" w:rsidP="00AE2F2E">
            <w:pPr>
              <w:spacing w:after="160" w:line="259" w:lineRule="auto"/>
              <w:rPr>
                <w:lang w:val="en"/>
              </w:rPr>
            </w:pPr>
          </w:p>
        </w:tc>
      </w:tr>
    </w:tbl>
    <w:p w14:paraId="4FBFF21A" w14:textId="77777777" w:rsidR="005B6C6C" w:rsidRPr="005B6C6C" w:rsidRDefault="005B6C6C" w:rsidP="005B6C6C"/>
    <w:p w14:paraId="718E7B44" w14:textId="432009D7" w:rsidR="00724107" w:rsidRPr="006473A7" w:rsidRDefault="00B72202" w:rsidP="00AE2F2E">
      <w:pPr>
        <w:pStyle w:val="Heading1"/>
        <w:spacing w:before="120"/>
        <w:ind w:left="431" w:hanging="431"/>
        <w:rPr>
          <w:color w:val="000000" w:themeColor="text1"/>
        </w:rPr>
      </w:pPr>
      <w:r w:rsidRPr="00A727D1">
        <w:rPr>
          <w:color w:val="000000" w:themeColor="text1"/>
        </w:rPr>
        <w:t>Document</w:t>
      </w:r>
      <w:r w:rsidR="00724107" w:rsidRPr="00A727D1">
        <w:rPr>
          <w:color w:val="000000" w:themeColor="text1"/>
        </w:rPr>
        <w:t xml:space="preserve"> Change Control</w:t>
      </w:r>
      <w:bookmarkEnd w:id="1"/>
      <w:bookmarkEnd w:id="9"/>
    </w:p>
    <w:tbl>
      <w:tblPr>
        <w:tblpPr w:leftFromText="180" w:rightFromText="180" w:vertAnchor="text" w:horzAnchor="page" w:tblpX="1448" w:tblpY="14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18"/>
        <w:gridCol w:w="1701"/>
        <w:gridCol w:w="4252"/>
      </w:tblGrid>
      <w:tr w:rsidR="005A6633" w:rsidRPr="005A6633" w14:paraId="56D1A024" w14:textId="77777777" w:rsidTr="006473A7">
        <w:trPr>
          <w:trHeight w:val="470"/>
        </w:trPr>
        <w:tc>
          <w:tcPr>
            <w:tcW w:w="1696" w:type="dxa"/>
            <w:shd w:val="clear" w:color="auto" w:fill="F2F2F2" w:themeFill="background1" w:themeFillShade="F2"/>
          </w:tcPr>
          <w:p w14:paraId="360A211B" w14:textId="3352F117" w:rsidR="005A6633" w:rsidRPr="00A727D1" w:rsidRDefault="005A6633" w:rsidP="006473A7">
            <w:pPr>
              <w:pStyle w:val="NoSpacing"/>
              <w:rPr>
                <w:b/>
                <w:bCs/>
                <w:color w:val="000000" w:themeColor="text1"/>
                <w:lang w:val="en-US"/>
              </w:rPr>
            </w:pPr>
            <w:r w:rsidRPr="00A727D1">
              <w:rPr>
                <w:b/>
                <w:bCs/>
                <w:color w:val="000000" w:themeColor="text1"/>
                <w:lang w:val="en-US"/>
              </w:rPr>
              <w:t>Version</w:t>
            </w:r>
            <w:r w:rsidR="006473A7">
              <w:rPr>
                <w:b/>
                <w:bCs/>
                <w:color w:val="000000" w:themeColor="text1"/>
                <w:lang w:val="en-US"/>
              </w:rPr>
              <w:t xml:space="preserve"> </w:t>
            </w:r>
            <w:r w:rsidRPr="00A727D1">
              <w:rPr>
                <w:b/>
                <w:bCs/>
                <w:color w:val="000000" w:themeColor="text1"/>
                <w:lang w:val="en-US"/>
              </w:rPr>
              <w:t>umber</w:t>
            </w:r>
          </w:p>
        </w:tc>
        <w:tc>
          <w:tcPr>
            <w:tcW w:w="1418" w:type="dxa"/>
            <w:shd w:val="clear" w:color="auto" w:fill="F2F2F2" w:themeFill="background1" w:themeFillShade="F2"/>
          </w:tcPr>
          <w:p w14:paraId="05D8AA73" w14:textId="649D8434" w:rsidR="006473A7" w:rsidRPr="00A727D1" w:rsidRDefault="005A6633" w:rsidP="006473A7">
            <w:pPr>
              <w:pStyle w:val="NoSpacing"/>
              <w:rPr>
                <w:b/>
                <w:bCs/>
                <w:color w:val="000000" w:themeColor="text1"/>
                <w:lang w:val="en-US"/>
              </w:rPr>
            </w:pPr>
            <w:r w:rsidRPr="00A727D1">
              <w:rPr>
                <w:b/>
                <w:bCs/>
                <w:color w:val="000000" w:themeColor="text1"/>
                <w:lang w:val="en-US"/>
              </w:rPr>
              <w:t xml:space="preserve">Date </w:t>
            </w:r>
          </w:p>
          <w:p w14:paraId="3DA4CDAB" w14:textId="14F76EEF" w:rsidR="005A6633" w:rsidRPr="00A727D1" w:rsidRDefault="005A6633" w:rsidP="005A6633">
            <w:pPr>
              <w:pStyle w:val="NoSpacing"/>
              <w:rPr>
                <w:b/>
                <w:bCs/>
                <w:color w:val="000000" w:themeColor="text1"/>
                <w:lang w:val="en-US"/>
              </w:rPr>
            </w:pPr>
          </w:p>
        </w:tc>
        <w:tc>
          <w:tcPr>
            <w:tcW w:w="1701" w:type="dxa"/>
            <w:shd w:val="clear" w:color="auto" w:fill="F2F2F2" w:themeFill="background1" w:themeFillShade="F2"/>
          </w:tcPr>
          <w:p w14:paraId="7672F02F" w14:textId="05579017" w:rsidR="005A6633" w:rsidRPr="00A727D1" w:rsidRDefault="005A6633" w:rsidP="005A6633">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lang w:val="en-US"/>
              </w:rPr>
              <w:t>Author(s)</w:t>
            </w:r>
          </w:p>
        </w:tc>
        <w:tc>
          <w:tcPr>
            <w:tcW w:w="4252" w:type="dxa"/>
            <w:shd w:val="clear" w:color="auto" w:fill="F2F2F2" w:themeFill="background1" w:themeFillShade="F2"/>
          </w:tcPr>
          <w:p w14:paraId="32753DD3" w14:textId="7A6E639E" w:rsidR="005A6633" w:rsidRPr="00A727D1" w:rsidRDefault="005A6633" w:rsidP="005A6633">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rPr>
              <w:t>Brief Description of Change</w:t>
            </w:r>
          </w:p>
        </w:tc>
      </w:tr>
      <w:tr w:rsidR="005A6633" w:rsidRPr="005A6633" w14:paraId="5A800A14" w14:textId="77777777" w:rsidTr="006473A7">
        <w:trPr>
          <w:trHeight w:val="470"/>
        </w:trPr>
        <w:tc>
          <w:tcPr>
            <w:tcW w:w="1696" w:type="dxa"/>
            <w:shd w:val="clear" w:color="auto" w:fill="auto"/>
          </w:tcPr>
          <w:p w14:paraId="42F972C6" w14:textId="77777777" w:rsidR="005A6633" w:rsidRPr="00E754D6" w:rsidRDefault="005A6633" w:rsidP="005A6633">
            <w:pPr>
              <w:spacing w:after="120" w:line="0" w:lineRule="atLeast"/>
              <w:rPr>
                <w:rFonts w:eastAsia="Times New Roman" w:cs="Times New Roman"/>
                <w:b/>
                <w:bCs/>
                <w:color w:val="0070C0"/>
                <w:spacing w:val="-5"/>
                <w:szCs w:val="20"/>
                <w:lang w:val="en-US"/>
              </w:rPr>
            </w:pPr>
            <w:r w:rsidRPr="00E754D6">
              <w:rPr>
                <w:rFonts w:eastAsia="Times New Roman" w:cs="Times New Roman"/>
                <w:color w:val="0070C0"/>
                <w:spacing w:val="-5"/>
                <w:szCs w:val="20"/>
                <w:lang w:val="en-US"/>
              </w:rPr>
              <w:t>&lt;&lt;###&gt;&gt;</w:t>
            </w:r>
          </w:p>
        </w:tc>
        <w:tc>
          <w:tcPr>
            <w:tcW w:w="1418" w:type="dxa"/>
          </w:tcPr>
          <w:p w14:paraId="76B4ECC5" w14:textId="77777777" w:rsidR="005A6633" w:rsidRPr="00E754D6" w:rsidRDefault="005A6633" w:rsidP="005A6633">
            <w:pPr>
              <w:spacing w:after="120" w:line="0" w:lineRule="atLeast"/>
              <w:rPr>
                <w:rFonts w:eastAsia="Times New Roman" w:cs="Times New Roman"/>
                <w:color w:val="0070C0"/>
                <w:spacing w:val="-5"/>
                <w:szCs w:val="20"/>
                <w:lang w:val="en-US"/>
              </w:rPr>
            </w:pPr>
            <w:r w:rsidRPr="00E754D6">
              <w:rPr>
                <w:rFonts w:eastAsia="Times New Roman" w:cs="Times New Roman"/>
                <w:color w:val="0070C0"/>
                <w:spacing w:val="-5"/>
                <w:szCs w:val="20"/>
                <w:lang w:val="en-US"/>
              </w:rPr>
              <w:t>&lt;&lt;###&gt;&gt;</w:t>
            </w:r>
          </w:p>
        </w:tc>
        <w:tc>
          <w:tcPr>
            <w:tcW w:w="1701" w:type="dxa"/>
            <w:shd w:val="clear" w:color="auto" w:fill="auto"/>
          </w:tcPr>
          <w:p w14:paraId="15EC2F6A" w14:textId="77777777" w:rsidR="005A6633" w:rsidRPr="00E754D6" w:rsidRDefault="005A6633" w:rsidP="005A6633">
            <w:pPr>
              <w:spacing w:after="120" w:line="0" w:lineRule="atLeast"/>
              <w:rPr>
                <w:rFonts w:eastAsia="Times New Roman" w:cs="Times New Roman"/>
                <w:b/>
                <w:bCs/>
                <w:color w:val="0070C0"/>
                <w:spacing w:val="-5"/>
                <w:szCs w:val="20"/>
                <w:lang w:val="en-US"/>
              </w:rPr>
            </w:pPr>
            <w:r w:rsidRPr="00E754D6">
              <w:rPr>
                <w:rFonts w:eastAsia="Times New Roman" w:cs="Times New Roman"/>
                <w:color w:val="0070C0"/>
                <w:spacing w:val="-5"/>
                <w:szCs w:val="20"/>
                <w:lang w:val="en-US"/>
              </w:rPr>
              <w:t>&lt;&lt;###&gt;&gt;</w:t>
            </w:r>
          </w:p>
        </w:tc>
        <w:tc>
          <w:tcPr>
            <w:tcW w:w="4252" w:type="dxa"/>
            <w:shd w:val="clear" w:color="auto" w:fill="auto"/>
          </w:tcPr>
          <w:p w14:paraId="20E3B413" w14:textId="77777777" w:rsidR="005A6633" w:rsidRPr="00E754D6" w:rsidRDefault="005A6633" w:rsidP="005A6633">
            <w:pPr>
              <w:spacing w:after="120" w:line="0" w:lineRule="atLeast"/>
              <w:rPr>
                <w:rFonts w:eastAsia="Times New Roman" w:cs="Times New Roman"/>
                <w:b/>
                <w:bCs/>
                <w:color w:val="0070C0"/>
                <w:spacing w:val="-5"/>
                <w:szCs w:val="20"/>
                <w:lang w:val="en-US"/>
              </w:rPr>
            </w:pPr>
            <w:r w:rsidRPr="00E754D6">
              <w:rPr>
                <w:rFonts w:eastAsia="Times New Roman" w:cs="Times New Roman"/>
                <w:color w:val="0070C0"/>
                <w:spacing w:val="-5"/>
                <w:szCs w:val="20"/>
                <w:lang w:val="en-US"/>
              </w:rPr>
              <w:t>&lt;&lt;###-###&gt;&gt;</w:t>
            </w:r>
          </w:p>
        </w:tc>
      </w:tr>
    </w:tbl>
    <w:p w14:paraId="4DA3CF3C" w14:textId="77777777" w:rsidR="00724107" w:rsidRPr="00F071A2" w:rsidRDefault="00724107" w:rsidP="00724107">
      <w:pPr>
        <w:spacing w:after="120" w:line="0" w:lineRule="atLeast"/>
        <w:rPr>
          <w:rFonts w:eastAsia="Times New Roman" w:cs="Times New Roman"/>
          <w:spacing w:val="-5"/>
          <w:szCs w:val="20"/>
        </w:rPr>
      </w:pPr>
    </w:p>
    <w:p w14:paraId="2E1B2905" w14:textId="77777777" w:rsidR="006D56E0" w:rsidRDefault="006D56E0"/>
    <w:p w14:paraId="49DE3785" w14:textId="77777777" w:rsidR="00F94369" w:rsidRDefault="00F94369"/>
    <w:p w14:paraId="6C0FF812" w14:textId="77777777" w:rsidR="00F94369" w:rsidRDefault="00F94369"/>
    <w:p w14:paraId="6B97D30C" w14:textId="77777777" w:rsidR="00F94369" w:rsidRDefault="00F94369"/>
    <w:p w14:paraId="1F954F56" w14:textId="77777777" w:rsidR="00F94369" w:rsidRDefault="00F94369"/>
    <w:p w14:paraId="394B7DBF" w14:textId="77777777" w:rsidR="00F94369" w:rsidRDefault="00F94369"/>
    <w:p w14:paraId="1CE3EEA6" w14:textId="77777777" w:rsidR="00F94369" w:rsidRDefault="00F94369"/>
    <w:p w14:paraId="14EA1CD6" w14:textId="77777777" w:rsidR="00F94369" w:rsidRDefault="00F94369"/>
    <w:p w14:paraId="49B0595F" w14:textId="77777777" w:rsidR="00F94369" w:rsidRDefault="00F94369"/>
    <w:p w14:paraId="6FAA92FB" w14:textId="77777777" w:rsidR="00F94369" w:rsidRDefault="00F94369"/>
    <w:p w14:paraId="08F08DCD" w14:textId="77777777" w:rsidR="00F94369" w:rsidRDefault="00F94369"/>
    <w:p w14:paraId="3C550A00" w14:textId="77777777" w:rsidR="00F94369" w:rsidRDefault="00F94369"/>
    <w:p w14:paraId="7479B5AC" w14:textId="77777777" w:rsidR="00F94369" w:rsidRDefault="00F94369"/>
    <w:p w14:paraId="0F6D23BE" w14:textId="77777777" w:rsidR="00F94369" w:rsidRDefault="00F94369"/>
    <w:p w14:paraId="3222333C" w14:textId="77777777" w:rsidR="005225ED" w:rsidRDefault="005225ED"/>
    <w:p w14:paraId="45E069AD" w14:textId="4BDC049F" w:rsidR="00EB70AB" w:rsidRDefault="00EB70AB">
      <w:pPr>
        <w:rPr>
          <w:b/>
          <w:bCs/>
          <w:color w:val="2F5496" w:themeColor="accent1" w:themeShade="BF"/>
        </w:rPr>
      </w:pPr>
    </w:p>
    <w:sectPr w:rsidR="00EB70A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0CDF3" w14:textId="77777777" w:rsidR="001E2679" w:rsidRDefault="001E2679" w:rsidP="003C1CD2">
      <w:pPr>
        <w:spacing w:after="0" w:line="240" w:lineRule="auto"/>
      </w:pPr>
      <w:r>
        <w:separator/>
      </w:r>
    </w:p>
  </w:endnote>
  <w:endnote w:type="continuationSeparator" w:id="0">
    <w:p w14:paraId="6CBFD32D" w14:textId="77777777" w:rsidR="001E2679" w:rsidRDefault="001E2679"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oudy Old Style">
    <w:altName w:val="Georg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B537" w14:textId="77777777" w:rsidR="006474D0" w:rsidRDefault="006474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7D8C8" w14:textId="77777777" w:rsidR="006474D0" w:rsidRDefault="006474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875C8" w14:textId="77777777" w:rsidR="006474D0" w:rsidRDefault="00647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D783A" w14:textId="77777777" w:rsidR="001E2679" w:rsidRDefault="001E2679" w:rsidP="003C1CD2">
      <w:pPr>
        <w:spacing w:after="0" w:line="240" w:lineRule="auto"/>
      </w:pPr>
      <w:r>
        <w:separator/>
      </w:r>
    </w:p>
  </w:footnote>
  <w:footnote w:type="continuationSeparator" w:id="0">
    <w:p w14:paraId="080D8320" w14:textId="77777777" w:rsidR="001E2679" w:rsidRDefault="001E2679" w:rsidP="003C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145A2" w14:textId="77777777" w:rsidR="006474D0" w:rsidRDefault="006474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3C1CD2" w14:paraId="15BC42AA" w14:textId="77777777" w:rsidTr="00A727D1">
      <w:trPr>
        <w:cantSplit/>
        <w:trHeight w:val="337"/>
      </w:trPr>
      <w:tc>
        <w:tcPr>
          <w:tcW w:w="9016" w:type="dxa"/>
          <w:gridSpan w:val="6"/>
          <w:shd w:val="clear" w:color="auto" w:fill="F3F3F3"/>
        </w:tcPr>
        <w:p w14:paraId="6C084E99" w14:textId="77777777" w:rsidR="003C1CD2" w:rsidRDefault="003C1CD2" w:rsidP="003C1CD2">
          <w:pPr>
            <w:pStyle w:val="Header"/>
            <w:jc w:val="center"/>
            <w:rPr>
              <w:rFonts w:ascii="Goudy Old Style" w:hAnsi="Goudy Old Style"/>
              <w:b/>
            </w:rPr>
          </w:pPr>
          <w:r>
            <w:rPr>
              <w:rFonts w:cs="Arial"/>
              <w:b/>
              <w:sz w:val="22"/>
            </w:rPr>
            <w:t>Stowood Scientific Instruments Ltd.</w:t>
          </w:r>
        </w:p>
      </w:tc>
    </w:tr>
    <w:tr w:rsidR="003C1CD2" w14:paraId="6E87F654" w14:textId="77777777" w:rsidTr="00A727D1">
      <w:trPr>
        <w:cantSplit/>
        <w:trHeight w:val="413"/>
      </w:trPr>
      <w:tc>
        <w:tcPr>
          <w:tcW w:w="9016" w:type="dxa"/>
          <w:gridSpan w:val="6"/>
        </w:tcPr>
        <w:p w14:paraId="725629A1" w14:textId="788C822F" w:rsidR="003C1CD2" w:rsidRDefault="00AB2988" w:rsidP="003C1CD2">
          <w:pPr>
            <w:pStyle w:val="Header"/>
            <w:jc w:val="center"/>
            <w:rPr>
              <w:rFonts w:cs="Arial"/>
              <w:b/>
              <w:sz w:val="28"/>
            </w:rPr>
          </w:pPr>
          <w:r>
            <w:rPr>
              <w:rFonts w:cs="Arial"/>
              <w:b/>
              <w:sz w:val="28"/>
            </w:rPr>
            <w:t>Software</w:t>
          </w:r>
          <w:r w:rsidR="003B2A68">
            <w:rPr>
              <w:rFonts w:cs="Arial"/>
              <w:b/>
              <w:sz w:val="28"/>
            </w:rPr>
            <w:t xml:space="preserve"> Safety</w:t>
          </w:r>
          <w:r>
            <w:rPr>
              <w:rFonts w:cs="Arial"/>
              <w:b/>
              <w:sz w:val="28"/>
            </w:rPr>
            <w:t xml:space="preserve"> Classification</w:t>
          </w:r>
          <w:r w:rsidR="00CE05B2">
            <w:rPr>
              <w:rFonts w:cs="Arial"/>
              <w:b/>
              <w:sz w:val="28"/>
            </w:rPr>
            <w:t xml:space="preserve"> </w:t>
          </w:r>
          <w:r w:rsidR="00CE05B2" w:rsidRPr="00CE05B2">
            <w:rPr>
              <w:rFonts w:cs="Arial"/>
              <w:b/>
              <w:color w:val="0070C0"/>
              <w:sz w:val="28"/>
            </w:rPr>
            <w:t>[System Name]</w:t>
          </w:r>
        </w:p>
      </w:tc>
    </w:tr>
    <w:tr w:rsidR="003C1CD2" w14:paraId="15741459" w14:textId="77777777" w:rsidTr="00A727D1">
      <w:trPr>
        <w:trHeight w:val="207"/>
      </w:trPr>
      <w:tc>
        <w:tcPr>
          <w:tcW w:w="1463" w:type="dxa"/>
        </w:tcPr>
        <w:p w14:paraId="789E1A37" w14:textId="77777777" w:rsidR="003C1CD2" w:rsidRPr="003D678F" w:rsidRDefault="003C1CD2" w:rsidP="003C1CD2">
          <w:pPr>
            <w:pStyle w:val="Header"/>
            <w:rPr>
              <w:rFonts w:cs="Arial"/>
              <w:bCs/>
            </w:rPr>
          </w:pPr>
          <w:r w:rsidRPr="003D678F">
            <w:rPr>
              <w:rFonts w:cs="Arial"/>
              <w:bCs/>
            </w:rPr>
            <w:t>Form ID</w:t>
          </w:r>
        </w:p>
        <w:p w14:paraId="64609ECC" w14:textId="546C045B" w:rsidR="003C1CD2" w:rsidRDefault="003C1CD2" w:rsidP="003C1CD2">
          <w:pPr>
            <w:pStyle w:val="Header"/>
            <w:rPr>
              <w:rFonts w:cs="Arial"/>
              <w:bCs/>
            </w:rPr>
          </w:pPr>
          <w:r w:rsidRPr="003D678F">
            <w:rPr>
              <w:rFonts w:cs="Arial"/>
              <w:bCs/>
            </w:rPr>
            <w:t>SSI-QF-</w:t>
          </w:r>
          <w:r w:rsidR="003D678F" w:rsidRPr="003D678F">
            <w:rPr>
              <w:rFonts w:cs="Arial"/>
              <w:bCs/>
            </w:rPr>
            <w:t>20A</w:t>
          </w:r>
        </w:p>
      </w:tc>
      <w:tc>
        <w:tcPr>
          <w:tcW w:w="1494" w:type="dxa"/>
        </w:tcPr>
        <w:p w14:paraId="69B8EAD3" w14:textId="77777777" w:rsidR="003C1CD2" w:rsidRDefault="003C1CD2" w:rsidP="003C1CD2">
          <w:pPr>
            <w:pStyle w:val="Header"/>
            <w:rPr>
              <w:rFonts w:cs="Arial"/>
              <w:bCs/>
            </w:rPr>
          </w:pPr>
          <w:r>
            <w:rPr>
              <w:rFonts w:cs="Arial"/>
              <w:bCs/>
            </w:rPr>
            <w:t>Issue #</w:t>
          </w:r>
        </w:p>
        <w:p w14:paraId="76157E03" w14:textId="74C9E8C1" w:rsidR="003C1CD2" w:rsidRDefault="006A5656" w:rsidP="003C1CD2">
          <w:pPr>
            <w:pStyle w:val="Header"/>
            <w:rPr>
              <w:rFonts w:cs="Arial"/>
              <w:bCs/>
            </w:rPr>
          </w:pPr>
          <w:r>
            <w:rPr>
              <w:rFonts w:cs="Arial"/>
              <w:bCs/>
            </w:rPr>
            <w:t>1</w:t>
          </w:r>
        </w:p>
      </w:tc>
      <w:tc>
        <w:tcPr>
          <w:tcW w:w="1487" w:type="dxa"/>
        </w:tcPr>
        <w:p w14:paraId="31901F5E" w14:textId="77777777" w:rsidR="003C1CD2" w:rsidRDefault="003C1CD2" w:rsidP="003C1CD2">
          <w:pPr>
            <w:pStyle w:val="Header"/>
            <w:rPr>
              <w:rFonts w:cs="Arial"/>
              <w:bCs/>
            </w:rPr>
          </w:pPr>
          <w:r>
            <w:rPr>
              <w:rFonts w:cs="Arial"/>
              <w:bCs/>
            </w:rPr>
            <w:t>Author</w:t>
          </w:r>
        </w:p>
        <w:p w14:paraId="011030BE" w14:textId="2FC670D2" w:rsidR="003C1CD2" w:rsidRDefault="006A5656" w:rsidP="003C1CD2">
          <w:pPr>
            <w:pStyle w:val="Header"/>
            <w:rPr>
              <w:rFonts w:cs="Arial"/>
              <w:bCs/>
            </w:rPr>
          </w:pPr>
          <w:r>
            <w:rPr>
              <w:rFonts w:cs="Arial"/>
              <w:bCs/>
            </w:rPr>
            <w:t>OS/JF</w:t>
          </w:r>
        </w:p>
      </w:tc>
      <w:tc>
        <w:tcPr>
          <w:tcW w:w="1524" w:type="dxa"/>
        </w:tcPr>
        <w:p w14:paraId="652AA976" w14:textId="77777777" w:rsidR="003C1CD2" w:rsidRDefault="003C1CD2" w:rsidP="003C1CD2">
          <w:pPr>
            <w:pStyle w:val="Header"/>
            <w:rPr>
              <w:rFonts w:cs="Arial"/>
              <w:bCs/>
            </w:rPr>
          </w:pPr>
          <w:r>
            <w:rPr>
              <w:rFonts w:cs="Arial"/>
              <w:bCs/>
            </w:rPr>
            <w:t>Effective Date</w:t>
          </w:r>
        </w:p>
        <w:p w14:paraId="30B3F5CD" w14:textId="09001E65" w:rsidR="003C1CD2" w:rsidRDefault="003D678F" w:rsidP="003C1CD2">
          <w:pPr>
            <w:pStyle w:val="Header"/>
            <w:rPr>
              <w:rFonts w:cs="Arial"/>
              <w:bCs/>
            </w:rPr>
          </w:pPr>
          <w:r>
            <w:rPr>
              <w:rFonts w:cs="Arial"/>
              <w:bCs/>
            </w:rPr>
            <w:t>25/5</w:t>
          </w:r>
          <w:r w:rsidR="006A5656">
            <w:rPr>
              <w:rFonts w:cs="Arial"/>
              <w:bCs/>
            </w:rPr>
            <w:t>/23</w:t>
          </w:r>
        </w:p>
      </w:tc>
      <w:tc>
        <w:tcPr>
          <w:tcW w:w="1585" w:type="dxa"/>
        </w:tcPr>
        <w:p w14:paraId="02E987ED" w14:textId="77777777" w:rsidR="003C1CD2" w:rsidRDefault="003C1CD2" w:rsidP="003C1CD2">
          <w:pPr>
            <w:pStyle w:val="Header"/>
            <w:rPr>
              <w:rFonts w:cs="Arial"/>
              <w:bCs/>
            </w:rPr>
          </w:pPr>
          <w:r>
            <w:rPr>
              <w:rFonts w:cs="Arial"/>
              <w:bCs/>
            </w:rPr>
            <w:t>Supersedes</w:t>
          </w:r>
        </w:p>
        <w:p w14:paraId="54104964" w14:textId="19A3A204" w:rsidR="003C1CD2" w:rsidRDefault="006A5656" w:rsidP="003C1CD2">
          <w:pPr>
            <w:pStyle w:val="Header"/>
            <w:rPr>
              <w:rFonts w:cs="Arial"/>
              <w:bCs/>
            </w:rPr>
          </w:pPr>
          <w:r>
            <w:rPr>
              <w:rFonts w:cs="Arial"/>
              <w:bCs/>
            </w:rPr>
            <w:t>-</w:t>
          </w:r>
        </w:p>
      </w:tc>
      <w:tc>
        <w:tcPr>
          <w:tcW w:w="1463" w:type="dxa"/>
        </w:tcPr>
        <w:p w14:paraId="0FDC6750" w14:textId="77777777" w:rsidR="003C1CD2" w:rsidRDefault="003C1CD2"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D224B9">
            <w:rPr>
              <w:rStyle w:val="PageNumber"/>
              <w:rFonts w:cs="Arial"/>
              <w:b/>
              <w:bCs/>
              <w:noProof/>
            </w:rPr>
            <w:t>2</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D224B9">
            <w:rPr>
              <w:rStyle w:val="PageNumber"/>
              <w:noProof/>
            </w:rPr>
            <w:t>4</w:t>
          </w:r>
          <w:r>
            <w:rPr>
              <w:rStyle w:val="PageNumber"/>
            </w:rPr>
            <w:fldChar w:fldCharType="end"/>
          </w:r>
        </w:p>
      </w:tc>
    </w:tr>
  </w:tbl>
  <w:p w14:paraId="6017803C" w14:textId="649AD172" w:rsidR="003C1CD2" w:rsidRPr="006474D0" w:rsidRDefault="003C1CD2">
    <w:pPr>
      <w:pStyle w:val="Header"/>
      <w:rPr>
        <w:b/>
        <w:color w:val="C45911" w:themeColor="accent2" w:themeShade="B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EC61A" w14:textId="77777777" w:rsidR="006474D0" w:rsidRDefault="006474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3" w15:restartNumberingAfterBreak="0">
    <w:nsid w:val="29E97742"/>
    <w:multiLevelType w:val="multilevel"/>
    <w:tmpl w:val="517A5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2"/>
  </w:num>
  <w:num w:numId="6">
    <w:abstractNumId w:val="6"/>
  </w:num>
  <w:num w:numId="7">
    <w:abstractNumId w:val="7"/>
  </w:num>
  <w:num w:numId="8">
    <w:abstractNumId w:val="4"/>
  </w:num>
  <w:num w:numId="9">
    <w:abstractNumId w:val="5"/>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0715C"/>
    <w:rsid w:val="00041F24"/>
    <w:rsid w:val="00057130"/>
    <w:rsid w:val="00057568"/>
    <w:rsid w:val="0006638C"/>
    <w:rsid w:val="00071FA4"/>
    <w:rsid w:val="00075DDE"/>
    <w:rsid w:val="0008286D"/>
    <w:rsid w:val="000B30F7"/>
    <w:rsid w:val="000B7030"/>
    <w:rsid w:val="000D6F91"/>
    <w:rsid w:val="000F6356"/>
    <w:rsid w:val="00100F23"/>
    <w:rsid w:val="001011AB"/>
    <w:rsid w:val="00113603"/>
    <w:rsid w:val="0012611B"/>
    <w:rsid w:val="00131723"/>
    <w:rsid w:val="0013225C"/>
    <w:rsid w:val="0015301A"/>
    <w:rsid w:val="001852AE"/>
    <w:rsid w:val="001926C4"/>
    <w:rsid w:val="00193923"/>
    <w:rsid w:val="001A7153"/>
    <w:rsid w:val="001C2481"/>
    <w:rsid w:val="001D1FC6"/>
    <w:rsid w:val="001E2679"/>
    <w:rsid w:val="001E789D"/>
    <w:rsid w:val="001F0DB7"/>
    <w:rsid w:val="001F6255"/>
    <w:rsid w:val="002149DC"/>
    <w:rsid w:val="00217011"/>
    <w:rsid w:val="00224E87"/>
    <w:rsid w:val="002317B1"/>
    <w:rsid w:val="0024761F"/>
    <w:rsid w:val="00251ED2"/>
    <w:rsid w:val="002548B9"/>
    <w:rsid w:val="00255857"/>
    <w:rsid w:val="00261C93"/>
    <w:rsid w:val="00273A37"/>
    <w:rsid w:val="0028427D"/>
    <w:rsid w:val="002850B3"/>
    <w:rsid w:val="002A2A25"/>
    <w:rsid w:val="002A3044"/>
    <w:rsid w:val="002B7FAB"/>
    <w:rsid w:val="002C7372"/>
    <w:rsid w:val="002C7B5B"/>
    <w:rsid w:val="002D0105"/>
    <w:rsid w:val="002D338D"/>
    <w:rsid w:val="002E1BD6"/>
    <w:rsid w:val="002E1E5B"/>
    <w:rsid w:val="002F4029"/>
    <w:rsid w:val="00305279"/>
    <w:rsid w:val="00311C96"/>
    <w:rsid w:val="0032689D"/>
    <w:rsid w:val="00327BC1"/>
    <w:rsid w:val="00333A03"/>
    <w:rsid w:val="003412D8"/>
    <w:rsid w:val="003421CF"/>
    <w:rsid w:val="00356EDB"/>
    <w:rsid w:val="00363DE7"/>
    <w:rsid w:val="00364651"/>
    <w:rsid w:val="00370CF7"/>
    <w:rsid w:val="003741EB"/>
    <w:rsid w:val="003A6A52"/>
    <w:rsid w:val="003B2A68"/>
    <w:rsid w:val="003C1CD2"/>
    <w:rsid w:val="003D19D2"/>
    <w:rsid w:val="003D678F"/>
    <w:rsid w:val="003D7F06"/>
    <w:rsid w:val="003F3ABA"/>
    <w:rsid w:val="00406213"/>
    <w:rsid w:val="00410EB0"/>
    <w:rsid w:val="00411315"/>
    <w:rsid w:val="00421E5F"/>
    <w:rsid w:val="004252DC"/>
    <w:rsid w:val="00455B73"/>
    <w:rsid w:val="0045705D"/>
    <w:rsid w:val="00465CA8"/>
    <w:rsid w:val="00471F04"/>
    <w:rsid w:val="00484883"/>
    <w:rsid w:val="00495607"/>
    <w:rsid w:val="00497DFF"/>
    <w:rsid w:val="004A578E"/>
    <w:rsid w:val="004D68E6"/>
    <w:rsid w:val="004E10B5"/>
    <w:rsid w:val="004E337E"/>
    <w:rsid w:val="00502AE9"/>
    <w:rsid w:val="00504C76"/>
    <w:rsid w:val="005225ED"/>
    <w:rsid w:val="005272AC"/>
    <w:rsid w:val="00540B5C"/>
    <w:rsid w:val="00541827"/>
    <w:rsid w:val="00544E6A"/>
    <w:rsid w:val="005506BA"/>
    <w:rsid w:val="00554732"/>
    <w:rsid w:val="00560D2B"/>
    <w:rsid w:val="00585189"/>
    <w:rsid w:val="00594ADA"/>
    <w:rsid w:val="005A06EB"/>
    <w:rsid w:val="005A6633"/>
    <w:rsid w:val="005B024D"/>
    <w:rsid w:val="005B6C6C"/>
    <w:rsid w:val="005C266B"/>
    <w:rsid w:val="005D5ACC"/>
    <w:rsid w:val="005E1739"/>
    <w:rsid w:val="006001C4"/>
    <w:rsid w:val="00613E62"/>
    <w:rsid w:val="0062382C"/>
    <w:rsid w:val="00641D69"/>
    <w:rsid w:val="00644C36"/>
    <w:rsid w:val="006473A7"/>
    <w:rsid w:val="006474D0"/>
    <w:rsid w:val="00660EA1"/>
    <w:rsid w:val="0067594B"/>
    <w:rsid w:val="006A5656"/>
    <w:rsid w:val="006C4E43"/>
    <w:rsid w:val="006C6723"/>
    <w:rsid w:val="006D1351"/>
    <w:rsid w:val="006D1AA7"/>
    <w:rsid w:val="006D56E0"/>
    <w:rsid w:val="006E2466"/>
    <w:rsid w:val="006E37A1"/>
    <w:rsid w:val="006F1687"/>
    <w:rsid w:val="006F7393"/>
    <w:rsid w:val="0071350F"/>
    <w:rsid w:val="007152F2"/>
    <w:rsid w:val="00724107"/>
    <w:rsid w:val="007271FB"/>
    <w:rsid w:val="007456B4"/>
    <w:rsid w:val="007532AD"/>
    <w:rsid w:val="007613C7"/>
    <w:rsid w:val="007730CE"/>
    <w:rsid w:val="007907D4"/>
    <w:rsid w:val="00790FAA"/>
    <w:rsid w:val="00794178"/>
    <w:rsid w:val="00795891"/>
    <w:rsid w:val="007A2DF0"/>
    <w:rsid w:val="007B25EA"/>
    <w:rsid w:val="007C294F"/>
    <w:rsid w:val="007D266A"/>
    <w:rsid w:val="007E653B"/>
    <w:rsid w:val="007F7867"/>
    <w:rsid w:val="0080532D"/>
    <w:rsid w:val="00810F32"/>
    <w:rsid w:val="0081679B"/>
    <w:rsid w:val="008174C1"/>
    <w:rsid w:val="00830DBB"/>
    <w:rsid w:val="0083482D"/>
    <w:rsid w:val="0084205F"/>
    <w:rsid w:val="00845F61"/>
    <w:rsid w:val="00876609"/>
    <w:rsid w:val="00885F80"/>
    <w:rsid w:val="00896FDE"/>
    <w:rsid w:val="008B255E"/>
    <w:rsid w:val="008B54F8"/>
    <w:rsid w:val="008C2794"/>
    <w:rsid w:val="008E79AF"/>
    <w:rsid w:val="00914CFE"/>
    <w:rsid w:val="00934FAB"/>
    <w:rsid w:val="00951995"/>
    <w:rsid w:val="00973079"/>
    <w:rsid w:val="00980977"/>
    <w:rsid w:val="009871F4"/>
    <w:rsid w:val="00993FDE"/>
    <w:rsid w:val="009A07B6"/>
    <w:rsid w:val="009C29F9"/>
    <w:rsid w:val="009D2BAC"/>
    <w:rsid w:val="009E2F96"/>
    <w:rsid w:val="009F2B43"/>
    <w:rsid w:val="00A00982"/>
    <w:rsid w:val="00A11CF7"/>
    <w:rsid w:val="00A202BB"/>
    <w:rsid w:val="00A205CF"/>
    <w:rsid w:val="00A37E65"/>
    <w:rsid w:val="00A40400"/>
    <w:rsid w:val="00A50550"/>
    <w:rsid w:val="00A66B92"/>
    <w:rsid w:val="00A727D1"/>
    <w:rsid w:val="00AA1227"/>
    <w:rsid w:val="00AA4F9C"/>
    <w:rsid w:val="00AA531C"/>
    <w:rsid w:val="00AA6624"/>
    <w:rsid w:val="00AA7124"/>
    <w:rsid w:val="00AA7376"/>
    <w:rsid w:val="00AB2988"/>
    <w:rsid w:val="00AD47B2"/>
    <w:rsid w:val="00AD558E"/>
    <w:rsid w:val="00AD7B4B"/>
    <w:rsid w:val="00AE1CC2"/>
    <w:rsid w:val="00AE2F2E"/>
    <w:rsid w:val="00AE5157"/>
    <w:rsid w:val="00B01EBC"/>
    <w:rsid w:val="00B42C1C"/>
    <w:rsid w:val="00B47A89"/>
    <w:rsid w:val="00B50B1D"/>
    <w:rsid w:val="00B512A2"/>
    <w:rsid w:val="00B52A6E"/>
    <w:rsid w:val="00B541D9"/>
    <w:rsid w:val="00B55779"/>
    <w:rsid w:val="00B71ECE"/>
    <w:rsid w:val="00B72202"/>
    <w:rsid w:val="00B8716B"/>
    <w:rsid w:val="00B963CE"/>
    <w:rsid w:val="00BA3ABD"/>
    <w:rsid w:val="00BA763F"/>
    <w:rsid w:val="00BB4A5D"/>
    <w:rsid w:val="00BB5B66"/>
    <w:rsid w:val="00BC68BE"/>
    <w:rsid w:val="00BC6E34"/>
    <w:rsid w:val="00BD0A2B"/>
    <w:rsid w:val="00BD6FA9"/>
    <w:rsid w:val="00BE1E8B"/>
    <w:rsid w:val="00BF61E7"/>
    <w:rsid w:val="00C013CB"/>
    <w:rsid w:val="00C03EF0"/>
    <w:rsid w:val="00C07B8B"/>
    <w:rsid w:val="00C214B7"/>
    <w:rsid w:val="00C3140A"/>
    <w:rsid w:val="00C475E2"/>
    <w:rsid w:val="00C66D28"/>
    <w:rsid w:val="00C93C79"/>
    <w:rsid w:val="00CA62C0"/>
    <w:rsid w:val="00CC655F"/>
    <w:rsid w:val="00CD1DB7"/>
    <w:rsid w:val="00CD314E"/>
    <w:rsid w:val="00CD6E34"/>
    <w:rsid w:val="00CE03AD"/>
    <w:rsid w:val="00CE05B2"/>
    <w:rsid w:val="00CE6A6E"/>
    <w:rsid w:val="00D112EF"/>
    <w:rsid w:val="00D12B86"/>
    <w:rsid w:val="00D131DB"/>
    <w:rsid w:val="00D224B9"/>
    <w:rsid w:val="00D23018"/>
    <w:rsid w:val="00D30773"/>
    <w:rsid w:val="00D35C69"/>
    <w:rsid w:val="00D423CE"/>
    <w:rsid w:val="00D55158"/>
    <w:rsid w:val="00D62604"/>
    <w:rsid w:val="00DA0C1D"/>
    <w:rsid w:val="00DB0746"/>
    <w:rsid w:val="00DB575D"/>
    <w:rsid w:val="00DB6F18"/>
    <w:rsid w:val="00DC3B26"/>
    <w:rsid w:val="00DC6A76"/>
    <w:rsid w:val="00DD0749"/>
    <w:rsid w:val="00DE2965"/>
    <w:rsid w:val="00DE30BD"/>
    <w:rsid w:val="00E04DCC"/>
    <w:rsid w:val="00E4592D"/>
    <w:rsid w:val="00E47F0F"/>
    <w:rsid w:val="00E645E2"/>
    <w:rsid w:val="00E658B1"/>
    <w:rsid w:val="00E66B16"/>
    <w:rsid w:val="00E754D6"/>
    <w:rsid w:val="00E844E0"/>
    <w:rsid w:val="00E95CD4"/>
    <w:rsid w:val="00EA4F98"/>
    <w:rsid w:val="00EB02DA"/>
    <w:rsid w:val="00EB1E06"/>
    <w:rsid w:val="00EB2845"/>
    <w:rsid w:val="00EB70AB"/>
    <w:rsid w:val="00EC321F"/>
    <w:rsid w:val="00EC5008"/>
    <w:rsid w:val="00EE2D41"/>
    <w:rsid w:val="00EE3E00"/>
    <w:rsid w:val="00EF1498"/>
    <w:rsid w:val="00EF1F0C"/>
    <w:rsid w:val="00F036E6"/>
    <w:rsid w:val="00F13B99"/>
    <w:rsid w:val="00F17690"/>
    <w:rsid w:val="00F32DCE"/>
    <w:rsid w:val="00F47220"/>
    <w:rsid w:val="00F4736B"/>
    <w:rsid w:val="00F50E9F"/>
    <w:rsid w:val="00F56468"/>
    <w:rsid w:val="00F8311B"/>
    <w:rsid w:val="00F834E8"/>
    <w:rsid w:val="00F841DA"/>
    <w:rsid w:val="00F90766"/>
    <w:rsid w:val="00F94369"/>
    <w:rsid w:val="00F949C0"/>
    <w:rsid w:val="00F963F8"/>
    <w:rsid w:val="00FB0FFC"/>
    <w:rsid w:val="00FF5D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D0105"/>
    <w:pPr>
      <w:keepNext/>
      <w:keepLines/>
      <w:numPr>
        <w:numId w:val="2"/>
      </w:numPr>
      <w:spacing w:before="240" w:after="0"/>
      <w:outlineLvl w:val="0"/>
    </w:pPr>
    <w:rPr>
      <w:rFonts w:eastAsiaTheme="majorEastAsia"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F036E6"/>
    <w:pPr>
      <w:keepNext/>
      <w:keepLines/>
      <w:numPr>
        <w:ilvl w:val="1"/>
        <w:numId w:val="2"/>
      </w:numPr>
      <w:spacing w:before="300" w:after="120"/>
      <w:outlineLvl w:val="1"/>
    </w:pPr>
    <w:rPr>
      <w:rFonts w:eastAsiaTheme="majorEastAsia" w:cstheme="majorBidi"/>
      <w:b/>
      <w:color w:val="000000" w:themeColor="text1"/>
      <w:sz w:val="22"/>
      <w:szCs w:val="28"/>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05"/>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F036E6"/>
    <w:rPr>
      <w:rFonts w:ascii="Arial" w:eastAsiaTheme="majorEastAsia" w:hAnsi="Arial" w:cstheme="majorBidi"/>
      <w:b/>
      <w:color w:val="000000" w:themeColor="text1"/>
      <w:szCs w:val="28"/>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color w:val="auto"/>
      <w:szCs w:val="28"/>
      <w:lang w:val="en-US"/>
    </w:rPr>
  </w:style>
  <w:style w:type="paragraph" w:styleId="TOC1">
    <w:name w:val="toc 1"/>
    <w:basedOn w:val="Normal"/>
    <w:next w:val="Normal"/>
    <w:autoRedefine/>
    <w:uiPriority w:val="39"/>
    <w:unhideWhenUsed/>
    <w:rsid w:val="005E1739"/>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E3CB-474B-42BC-803C-AB955CCF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cp:lastModifiedBy>
  <cp:revision>290</cp:revision>
  <dcterms:created xsi:type="dcterms:W3CDTF">2022-09-05T14:07:00Z</dcterms:created>
  <dcterms:modified xsi:type="dcterms:W3CDTF">2024-11-06T14:31:00Z</dcterms:modified>
</cp:coreProperties>
</file>