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line="480" w:lineRule="auto"/>
        <w:jc w:val="center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4"/>
          <w:szCs w:val="24"/>
        </w:rPr>
        <w:t xml:space="preserve">Identificación de Actores y Usuarios</w:t>
      </w:r>
    </w:p>
    <w:p>
      <w:pPr>
        <w:spacing w:line="480" w:lineRule="auto"/>
        <w:ind w:firstLine="72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A continuación se describen las personas y los sistemas que interactúan con VitalFarma: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750"/>
      </w:tblGrid>
      <w:tr>
        <w:trPr>
          <w:tblHeader/>
        </w:trPr>
        <w:tc>
          <w:tcPr>
            <w:tcW w:type="dxa" w:w="2600"/>
            <w:tcBorders>
              <w:top w:val="single" w:color="000000" w:sz="4"/>
              <w:left w:val="none" w:color="FFFFFF" w:sz="0"/>
              <w:bottom w:val="single" w:color="000000" w:sz="4"/>
              <w:right w:val="none" w:color="FFFFFF" w:sz="0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4"/>
                <w:szCs w:val="24"/>
              </w:rPr>
              <w:t xml:space="preserve">Actor</w:t>
            </w:r>
          </w:p>
        </w:tc>
        <w:tc>
          <w:tcPr>
            <w:tcW w:type="dxa" w:w="6750"/>
            <w:tcBorders>
              <w:top w:val="single" w:color="000000" w:sz="4"/>
              <w:left w:val="none" w:color="FFFFFF" w:sz="0"/>
              <w:bottom w:val="single" w:color="000000" w:sz="4"/>
              <w:right w:val="none" w:color="FFFFFF" w:sz="0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4"/>
                <w:szCs w:val="24"/>
              </w:rPr>
              <w:t xml:space="preserve">Descripción</w:t>
            </w:r>
          </w:p>
        </w:tc>
      </w:tr>
      <w:tr>
        <w:tc>
          <w:tcPr>
            <w:tcW w:type="dxa" w:w="2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Cliente</w:t>
            </w:r>
          </w:p>
        </w:tc>
        <w:tc>
          <w:tcPr>
            <w:tcW w:type="dxa" w:w="675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Es la persona que usa la tienda virtual para ver productos, comprar, subir sus órdenes médicas y hablar con el chatbot.</w:t>
            </w:r>
          </w:p>
        </w:tc>
      </w:tr>
      <w:tr>
        <w:tc>
          <w:tcPr>
            <w:tcW w:type="dxa" w:w="2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Administrador</w:t>
            </w:r>
          </w:p>
        </w:tc>
        <w:tc>
          <w:tcPr>
            <w:tcW w:type="dxa" w:w="675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Es la persona encargada de manejar el día a día de la droguería dentro del sistema: productos, pedidos, clientes y reportes.</w:t>
            </w:r>
          </w:p>
        </w:tc>
      </w:tr>
      <w:tr>
        <w:tc>
          <w:tcPr>
            <w:tcW w:type="dxa" w:w="2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Superadministrador</w:t>
            </w:r>
          </w:p>
        </w:tc>
        <w:tc>
          <w:tcPr>
            <w:tcW w:type="dxa" w:w="675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Es la persona encargada de manejar los usuarios internos, sus roles y sus permisos dentro del sistema.</w:t>
            </w:r>
          </w:p>
        </w:tc>
      </w:tr>
      <w:tr>
        <w:tc>
          <w:tcPr>
            <w:tcW w:type="dxa" w:w="2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Servicio de inteligencia artificial</w:t>
            </w:r>
          </w:p>
        </w:tc>
        <w:tc>
          <w:tcPr>
            <w:tcW w:type="dxa" w:w="675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Es un servicio externo que ayuda a responder las preguntas del chatbot y a procesar las órdenes médicas.</w:t>
            </w:r>
          </w:p>
        </w:tc>
      </w:tr>
      <w:tr>
        <w:tc>
          <w:tcPr>
            <w:tcW w:type="dxa" w:w="2600"/>
            <w:tcBorders>
              <w:top w:val="none" w:color="FFFFFF" w:sz="0"/>
              <w:left w:val="none" w:color="FFFFFF" w:sz="0"/>
              <w:bottom w:val="single" w:color="000000" w:sz="4"/>
              <w:right w:val="none" w:color="FFFFFF" w:sz="0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Sistema de almacenamiento</w:t>
            </w:r>
          </w:p>
        </w:tc>
        <w:tc>
          <w:tcPr>
            <w:tcW w:type="dxa" w:w="6750"/>
            <w:tcBorders>
              <w:top w:val="none" w:color="FFFFFF" w:sz="0"/>
              <w:left w:val="none" w:color="FFFFFF" w:sz="0"/>
              <w:bottom w:val="single" w:color="000000" w:sz="4"/>
              <w:right w:val="none" w:color="FFFFFF" w:sz="0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Es la parte del sistema encargada de guardar los archivos que suben los clientes, como las órdenes médicas.</w:t>
            </w:r>
          </w:p>
        </w:tc>
      </w:tr>
    </w:tbl>
    <w:sectPr>
      <w:headerReference w:type="default" r:id="rId7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Times New Roman" w:cs="Times New Roman" w:eastAsia="Times New Roman" w:hAnsi="Times New Roman"/>
        <w:sz w:val="24"/>
        <w:szCs w:val="24"/>
      </w:rPr>
      <w:fldChar w:fldCharType="begin"/>
      <w:instrText xml:space="preserve">PAGE</w:instrText>
      <w:fldChar w:fldCharType="separate"/>
      <w:fldChar w:fldCharType="end"/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2026-09-10T08:14:16.452Z</dcterms:created>
  <dcterms:modified xsi:type="dcterms:W3CDTF">2026-09-10T08:14:16.452Z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