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D24"/>
          <w:sz w:val="36"/>
        </w:rPr>
        <w:t>E-RAKSHAK FORENSIC INVESTIGATION REPORT</w:t>
      </w:r>
    </w:p>
    <w:p>
      <w:pPr>
        <w:jc w:val="center"/>
      </w:pPr>
      <w:r>
        <w:rPr>
          <w:color w:val="666666"/>
          <w:sz w:val="20"/>
        </w:rPr>
        <w:t>Entity: ENT_0043 | Generated: 2026-08-11 02:16:19</w:t>
      </w:r>
    </w:p>
    <w:p>
      <w:r>
        <w:t>______________________________________________________________________</w:t>
      </w:r>
    </w:p>
    <w:p>
      <w:pPr>
        <w:pStyle w:val="Heading1"/>
      </w:pPr>
      <w:r>
        <w:t>1. Risk Assessment</w:t>
      </w:r>
    </w:p>
    <w:p>
      <w:r>
        <w:rPr>
          <w:b/>
        </w:rPr>
        <w:t xml:space="preserve">Rule-Based Risk Tier: </w:t>
      </w:r>
      <w:r>
        <w:rPr>
          <w:b/>
          <w:color w:val="DC3545"/>
        </w:rPr>
        <w:t>CRITICAL</w:t>
      </w:r>
    </w:p>
    <w:p>
      <w:r>
        <w:rPr>
          <w:b/>
        </w:rPr>
        <w:t xml:space="preserve">ML Anomaly Detection: </w:t>
      </w:r>
      <w:r>
        <w:t>Normal</w:t>
      </w:r>
    </w:p>
    <w:p/>
    <w:p>
      <w:pPr>
        <w:pStyle w:val="ListBullet"/>
      </w:pPr>
      <w:r>
        <w:t>Rules Fired:</w:t>
      </w:r>
    </w:p>
    <w:p>
      <w:pPr>
        <w:pStyle w:val="ListBullet2"/>
      </w:pPr>
      <w:r>
        <w:t>TCS-1</w:t>
      </w:r>
    </w:p>
    <w:p>
      <w:pPr>
        <w:pStyle w:val="ListBullet2"/>
      </w:pPr>
      <w:r>
        <w:t>MUL-1</w:t>
      </w:r>
    </w:p>
    <w:p>
      <w:pPr>
        <w:pStyle w:val="Heading1"/>
      </w:pPr>
      <w:r>
        <w:t>2. Resolved Identity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Identifier Type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t>Phone Numbers</w:t>
            </w:r>
          </w:p>
        </w:tc>
        <w:tc>
          <w:tcPr>
            <w:tcW w:type="dxa" w:w="4320"/>
          </w:tcPr>
          <w:p>
            <w:r>
              <w:t>9568978194</w:t>
            </w:r>
          </w:p>
        </w:tc>
      </w:tr>
      <w:tr>
        <w:tc>
          <w:tcPr>
            <w:tcW w:type="dxa" w:w="4320"/>
          </w:tcPr>
          <w:p>
            <w:r>
              <w:t>Bank Accounts</w:t>
            </w:r>
          </w:p>
        </w:tc>
        <w:tc>
          <w:tcPr>
            <w:tcW w:type="dxa" w:w="4320"/>
          </w:tcPr>
          <w:p>
            <w:r>
              <w:t>8644925192</w:t>
            </w:r>
          </w:p>
        </w:tc>
      </w:tr>
      <w:tr>
        <w:tc>
          <w:tcPr>
            <w:tcW w:type="dxa" w:w="4320"/>
          </w:tcPr>
          <w:p>
            <w:r>
              <w:t>IMEIs</w:t>
            </w:r>
          </w:p>
        </w:tc>
        <w:tc>
          <w:tcPr>
            <w:tcW w:type="dxa" w:w="4320"/>
          </w:tcPr>
          <w:p>
            <w:r>
              <w:t>889255466590515</w:t>
            </w:r>
          </w:p>
        </w:tc>
      </w:tr>
      <w:tr>
        <w:tc>
          <w:tcPr>
            <w:tcW w:type="dxa" w:w="4320"/>
          </w:tcPr>
          <w:p>
            <w:r>
              <w:t>UPI VPAs</w:t>
            </w:r>
          </w:p>
        </w:tc>
        <w:tc>
          <w:tcPr>
            <w:tcW w:type="dxa" w:w="4320"/>
          </w:tcPr>
          <w:p>
            <w:r>
              <w:t>ekiya.suresh@okaxis</w:t>
            </w:r>
          </w:p>
        </w:tc>
      </w:tr>
    </w:tbl>
    <w:p>
      <w:pPr>
        <w:pStyle w:val="Heading1"/>
      </w:pPr>
      <w:r>
        <w:t>3. Rule Analysis (Explainability)</w:t>
      </w:r>
    </w:p>
    <w:p>
      <w:pPr>
        <w:pStyle w:val="Heading3"/>
      </w:pPr>
      <w:r>
        <w:t>Rule TCS-1</w:t>
      </w:r>
    </w:p>
    <w:p>
      <w:r>
        <w:t>Temporal Coincidence: 1 transaction(s) for entity ENT_0043 had BOTH a phone call AND an active IP session within the correlation window. Details: Transaction of 500000 at 2025-06-07 11:00:00.</w:t>
      </w:r>
    </w:p>
    <w:p>
      <w:pPr>
        <w:pStyle w:val="Heading3"/>
      </w:pPr>
      <w:r>
        <w:t>Rule MUL-1</w:t>
      </w:r>
    </w:p>
    <w:p>
      <w:r>
        <w:t>Mule Signature detected: entity ENT_0043 was dormant for 30+ days, received 500000, then moved 450000 (90% of inflow) within 1.1 hours. Balance returned near-zero.</w:t>
      </w:r>
    </w:p>
    <w:p>
      <w:pPr>
        <w:pStyle w:val="Heading1"/>
      </w:pPr>
      <w:r>
        <w:t>4. Unified Evidentiary Timeline</w:t>
      </w:r>
    </w:p>
    <w:p>
      <w:r>
        <w:t>Every event recorded for this entity across all ingested sources, plotted on a single time axis. Transactions, telephony and internet sessions are separated into lanes; shaded bands mark the temporal correlation windows in which a transfer, a call and an IP session coincide. Markers ringed in black are the specific rows cited as evidence in Section 6.</w:t>
      </w:r>
    </w:p>
    <w:p>
      <w:r>
        <w:drawing>
          <wp:inline xmlns:a="http://schemas.openxmlformats.org/drawingml/2006/main" xmlns:pic="http://schemas.openxmlformats.org/drawingml/2006/picture">
            <wp:extent cx="5943600" cy="3969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Money Flow Neighbourhood</w:t>
      </w:r>
    </w:p>
    <w:p>
      <w:r>
        <w:t>Direct counterparties of this entity. Solid arrows are value transfers labelled with the aggregate amount; dashed arrows are telephony contact carrying no money. Amounts are counted once per transfer from the sending statement, so each figure reconciles with the underlying bank record.</w:t>
      </w:r>
    </w:p>
    <w:p>
      <w:r>
        <w:drawing>
          <wp:inline xmlns:a="http://schemas.openxmlformats.org/drawingml/2006/main" xmlns:pic="http://schemas.openxmlformats.org/drawingml/2006/picture">
            <wp:extent cx="5943600" cy="32681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Evidence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Timestamp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Amount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Counterparty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Row Ref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2025-05-01 10:58:34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transaction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-126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aarush.lall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bank_icici.pdf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2025-05-01 15:57:35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transaction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-113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lajita.chatterj</w:t>
              <w:br/>
              <w:t>ee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bank_icici.pdf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2025-05-01 16:00:33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127.190.156.179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577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2025-05-02 09:28:53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9841568532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1053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2025-05-02 10:01:58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7.153.52.160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571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2025-05-02 10:05:10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9615917225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1052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2025-05-02 18:40:52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9669473616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1075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2025-05-03 08:54:05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4.193.34.187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579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2025-05-03 15:07:00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9669473616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1055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2025-05-04 14:42:13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9669473616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1070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2025-05-05 00:41:43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58.214.35.77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581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2025-05-05 09:12:21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9576500726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1063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2025-05-06 16:16:24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9697139443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1069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2025-05-07 18:51:57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9575575808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1073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2025-05-08 12:36:54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222.79.98.92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566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2025-05-10 09:04:58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9615917225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1061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2025-05-10 10:18:21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43.67.3.203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569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2025-05-11 08:15:09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9669473616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1056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2025-05-11 18:34:44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9820843514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1076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2025-05-12 01:50:27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64.177.15.212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568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2025-05-13 08:42:38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9576500726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1080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2025-05-14 09:37:56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9756843172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1057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2025-05-15 01:01:19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126.20.237.135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570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2025-05-15 15:36:18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9669473616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1079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2025-05-16 11:27:51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9576500726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1066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2025-05-17 12:47:27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9820843514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1072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2025-05-18 07:32:14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9575575808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1078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2025-05-19 20:38:37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194.139.190.114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580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2025-05-20 21:40:56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9756843172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1050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2025-05-23 20:35:05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9697139443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1082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2025-05-24 18:05:21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9576500726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1067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2025-05-26 09:43:22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9575575808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1065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2025-05-26 18:29:55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9615917225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1074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2025-05-26 20:04:17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9615917225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1058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2025-05-27 08:53:16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9575575808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1081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2025-05-27 09:34:56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9756843172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1068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2025-05-27 10:39:28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214.214.220.146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578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2025-05-29 16:37:45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10.137.231.155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567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2025-05-30 08:38:21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9841568532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1059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2025-05-30 10:08:47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9756843172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1051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2025-05-31 09:30:01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9576500726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1077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2025-06-02 20:59:10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9697139443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1071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2025-06-03 16:24:25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9756843172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1064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2025-06-06 16:48:50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173.116.237.143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575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2025-06-06 22:34:17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143.209.232.74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573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2025-06-07 10:50:00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103.24.146.118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565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2025-06-07 11:00:00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transaction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500000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bank_icici.pdf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2025-06-07 11:08:00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9533357554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1049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2025-06-07 11:28:00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transaction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-108748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Kritika</w:t>
              <w:br/>
              <w:t>Brar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bank_icici.pdf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2025-06-07 11:32:00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transaction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-125336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Theodore</w:t>
              <w:br/>
              <w:t>Devi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bank_icici.pdf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192</w:t>
            </w:r>
          </w:p>
        </w:tc>
      </w:tr>
    </w:tbl>
    <w:p>
      <w:pPr>
        <w:pStyle w:val="Heading1"/>
      </w:pPr>
      <w:r>
        <w:t>7. Decision Trace References</w:t>
      </w:r>
    </w:p>
    <w:p>
      <w:r>
        <w:t>TCS-1: bank_row_190, cdr_row_1049, ipdr_row_565</w:t>
      </w:r>
    </w:p>
    <w:p>
      <w:r>
        <w:t>MUL-1: row_190, row_194, row_192, row_191, row_193</w:t>
      </w:r>
    </w:p>
    <w:p>
      <w:r>
        <w:t>______________________________________________________________________</w:t>
      </w:r>
    </w:p>
    <w:p>
      <w:pPr>
        <w:jc w:val="center"/>
      </w:pPr>
      <w:r>
        <w:rPr>
          <w:color w:val="999999"/>
          <w:sz w:val="16"/>
        </w:rPr>
        <w:t>CONFIDENTIAL - FOR LAW ENFORCEMENT USE ONLY</w:t>
        <w:br/>
        <w:t>Generated by E-Rakshak Forensic Analysis Platform</w:t>
        <w:br/>
        <w:t>Evidence admissible under Indian Evidence Act S.65B with proper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D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