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D24"/>
          <w:sz w:val="36"/>
        </w:rPr>
        <w:t>E-RAKSHAK FORENSIC INVESTIGATION REPORT</w:t>
      </w:r>
    </w:p>
    <w:p>
      <w:pPr>
        <w:jc w:val="center"/>
      </w:pPr>
      <w:r>
        <w:rPr>
          <w:color w:val="666666"/>
          <w:sz w:val="20"/>
        </w:rPr>
        <w:t>Entity: ENT_0037 | Generated: 2026-08-09 19:16:31</w:t>
      </w:r>
    </w:p>
    <w:p>
      <w:r>
        <w:t>______________________________________________________________________</w:t>
      </w:r>
    </w:p>
    <w:p>
      <w:pPr>
        <w:pStyle w:val="Heading1"/>
      </w:pPr>
      <w:r>
        <w:t>1. Risk Assessment</w:t>
      </w:r>
    </w:p>
    <w:p>
      <w:r>
        <w:rPr>
          <w:b/>
        </w:rPr>
        <w:t xml:space="preserve">Rule-Based Risk Tier: </w:t>
      </w:r>
      <w:r>
        <w:rPr>
          <w:b/>
          <w:color w:val="E67E22"/>
        </w:rPr>
        <w:t>HIGH</w:t>
      </w:r>
    </w:p>
    <w:p>
      <w:r>
        <w:rPr>
          <w:b/>
        </w:rPr>
        <w:t xml:space="preserve">ML Anomaly Detection: </w:t>
      </w:r>
      <w:r>
        <w:t>Normal</w:t>
      </w:r>
    </w:p>
    <w:p/>
    <w:p>
      <w:pPr>
        <w:pStyle w:val="ListBullet"/>
      </w:pPr>
      <w:r>
        <w:t>Rules Fired:</w:t>
      </w:r>
    </w:p>
    <w:p>
      <w:pPr>
        <w:pStyle w:val="ListBullet2"/>
      </w:pPr>
      <w:r>
        <w:t>LOC-1</w:t>
      </w:r>
    </w:p>
    <w:p>
      <w:pPr>
        <w:pStyle w:val="Heading1"/>
      </w:pPr>
      <w:r>
        <w:t>2. Resolved Identity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Identifier Type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t>Phone Numbers</w:t>
            </w:r>
          </w:p>
        </w:tc>
        <w:tc>
          <w:tcPr>
            <w:tcW w:type="dxa" w:w="4320"/>
          </w:tcPr>
          <w:p>
            <w:r>
              <w:t>9822243983</w:t>
            </w:r>
          </w:p>
        </w:tc>
      </w:tr>
      <w:tr>
        <w:tc>
          <w:tcPr>
            <w:tcW w:type="dxa" w:w="4320"/>
          </w:tcPr>
          <w:p>
            <w:r>
              <w:t>Bank Accounts</w:t>
            </w:r>
          </w:p>
        </w:tc>
        <w:tc>
          <w:tcPr>
            <w:tcW w:type="dxa" w:w="4320"/>
          </w:tcPr>
          <w:p>
            <w:r>
              <w:t>04945198327315</w:t>
            </w:r>
          </w:p>
        </w:tc>
      </w:tr>
      <w:tr>
        <w:tc>
          <w:tcPr>
            <w:tcW w:type="dxa" w:w="4320"/>
          </w:tcPr>
          <w:p>
            <w:r>
              <w:t>IMEIs</w:t>
            </w:r>
          </w:p>
        </w:tc>
        <w:tc>
          <w:tcPr>
            <w:tcW w:type="dxa" w:w="4320"/>
          </w:tcPr>
          <w:p>
            <w:r>
              <w:t>116152809885165</w:t>
            </w:r>
          </w:p>
        </w:tc>
      </w:tr>
      <w:tr>
        <w:tc>
          <w:tcPr>
            <w:tcW w:type="dxa" w:w="4320"/>
          </w:tcPr>
          <w:p>
            <w:r>
              <w:t>UPI VPAs</w:t>
            </w:r>
          </w:p>
        </w:tc>
        <w:tc>
          <w:tcPr>
            <w:tcW w:type="dxa" w:w="4320"/>
          </w:tcPr>
          <w:p>
            <w:r>
              <w:t>harini.choudhury@gpay</w:t>
            </w:r>
          </w:p>
        </w:tc>
      </w:tr>
    </w:tbl>
    <w:p>
      <w:pPr>
        <w:pStyle w:val="Heading1"/>
      </w:pPr>
      <w:r>
        <w:t>3. Rule Analysis (Explainability)</w:t>
      </w:r>
    </w:p>
    <w:p>
      <w:pPr>
        <w:pStyle w:val="Heading3"/>
      </w:pPr>
      <w:r>
        <w:t>Rule LOC-1</w:t>
      </w:r>
    </w:p>
    <w:p>
      <w:r>
        <w:t>Geo-Improbable travel (LOC-1) for entity ENT_0037: event at Adajan, Surat (sms) and event at Udhna, Surat (call) are 6.5 km apart with elapsed time of 1.4 mins (0.02 hrs). Implied travel speed: 270.4 km/h (exceeds plausible max travel speed threshold of 200 km/h).</w:t>
      </w:r>
    </w:p>
    <w:p>
      <w:pPr>
        <w:pStyle w:val="Heading1"/>
      </w:pPr>
      <w:r>
        <w:t>4. Money Flow / Identity Linkage Graph</w:t>
      </w:r>
    </w:p>
    <w:p>
      <w:r>
        <w:t>[Identity graph visual available in interactive portal. See Evidence Summary table below for complete audit trail.]</w:t>
      </w:r>
    </w:p>
    <w:p>
      <w:pPr>
        <w:pStyle w:val="Heading1"/>
      </w:pPr>
      <w:r>
        <w:t>5. Evidence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Timestamp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Amount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Counterparty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Row Ref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2025-05-01 20:56:15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9830364454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869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2025-05-01 22:08:24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9669473616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894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2025-05-02 19:01:44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9613886030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871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2025-05-02 19:19:59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sms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9751746937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890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2025-05-02 22:22:13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9830364454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882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2025-05-03 11:35:06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9669473616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898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2025-05-03 13:06:14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sms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9830364454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875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2025-05-03 23:18:17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ip_session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136.8.95.228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487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2025-05-04 13:45:34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9613886030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881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2025-05-07 16:33:44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9751746937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896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2025-05-07 21:19:03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sms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9751746937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883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2025-05-08 20:44:27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ip_session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176.206.75.229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489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2025-05-09 09:44:53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9830364454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872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2025-05-10 00:37:54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ip_session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107.219.128.35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490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2025-05-10 11:12:23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sms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9830364454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889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2025-05-11 02:37:26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ip_session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107.70.183.155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492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2025-05-11 13:51:28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ip_session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156.26.208.230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493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2025-05-13 14:27:10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ip_session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196.236.82.59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483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2025-05-14 13:38:04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9632084778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895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2025-05-15 09:27:19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ip_session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181.235.92.99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488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2025-05-15 10:11:19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9632084778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897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2025-05-16 08:59:13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sms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9632084778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893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2025-05-16 09:00:39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9669473616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900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2025-05-16 23:54:49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ip_session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196.254.50.88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482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2025-05-18 18:48:46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9613886030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888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2025-05-19 14:38:16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ip_session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195.189.143.109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484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2025-05-19 16:12:35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9613886030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899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2025-05-20 22:10:55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9669473616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891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2025-05-21 10:05:40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9613886030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884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2025-05-21 15:02:50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sms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9830364454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901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2025-05-22 10:03:40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9830364454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892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2025-05-22 14:50:05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ip_session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123.34.105.242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491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2025-05-23 11:34:05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9830364454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885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2025-05-23 12:25:08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ip_session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137.117.246.171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486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2025-05-23 17:54:59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ip_session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7.235.104.16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485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2025-05-23 22:27:15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ip_session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36.39.229.233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ipdr_export.csv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481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2025-05-24 10:22:08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9751746937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886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2025-05-24 13:27:13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sms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9751746937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868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2025-05-29 16:53:10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9632084778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880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2025-05-29 21:02:35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9632084778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878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2025-05-30 20:13:01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sms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9669473616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874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2025-06-08 12:34:09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9830364454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873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2025-06-10 08:46:25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9669473616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876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2025-06-12 11:03:29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9639436733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879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2025-06-12 12:47:11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sms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9632084778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870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2025-06-12 20:18:05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call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9751746937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887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2025-06-14 22:41:36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sms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9669473616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cdr_export.csv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877</w:t>
            </w:r>
          </w:p>
        </w:tc>
      </w:tr>
    </w:tbl>
    <w:p>
      <w:pPr>
        <w:pStyle w:val="Heading1"/>
      </w:pPr>
      <w:r>
        <w:t>6. Decision Trace References</w:t>
      </w:r>
    </w:p>
    <w:p>
      <w:r>
        <w:t>LOC-1: row_893, row_900, distance_km:6.5, speed_kmh:270.4, time_mins:1.4</w:t>
      </w:r>
    </w:p>
    <w:p>
      <w:r>
        <w:t>______________________________________________________________________</w:t>
      </w:r>
    </w:p>
    <w:p>
      <w:pPr>
        <w:jc w:val="center"/>
      </w:pPr>
      <w:r>
        <w:rPr>
          <w:color w:val="999999"/>
          <w:sz w:val="16"/>
        </w:rPr>
        <w:t>CONFIDENTIAL - FOR LAW ENFORCEMENT USE ONLY</w:t>
        <w:br/>
        <w:t>Generated by E-Rakshak Forensic Analysis Platform</w:t>
        <w:br/>
        <w:t>Evidence admissible under Indian Evidence Act S.65B with proper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D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