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ADATBÁZIS</w:t>
      </w:r>
    </w:p>
    <w:p>
      <w:pPr>
        <w:spacing w:before="100" w:after="1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807" w:dyaOrig="3644">
          <v:rect xmlns:o="urn:schemas-microsoft-com:office:office" xmlns:v="urn:schemas-microsoft-com:vml" id="rectole0000000000" style="width:440.350000pt;height:18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0" w:after="1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 adatbázisban kétféle kapcsolattípus található meg: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ENUM alapú kapcsolat</w:t>
        <w:br/>
        <w:t xml:space="preserve">Az ENUM egy olyan adattípus, amely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őre meghat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ározott értékkészletet tartalmaz. Ez biztosítja, hogy egy adott mez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csak bizonyos fix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értékeket vehessen fel, például a transactions.transaction_type mez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ő, amely csak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'purchase'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vagy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'survey'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lehet.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Idegen kulcsos kapcsolat (foreign key relationship)</w:t>
        <w:br/>
        <w:t xml:space="preserve">Ez egy hagyományos kapcsolat, amely egy tábla egyik oszlopát egy másik tábla els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ődleges kulcs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ához kapcsolja. Például a transactions.user_id az users.id els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ődleges kulcs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ára hivatkozik, amely meghatározza, hogy egy adott tranzakció melyik felhasználóhoz tartozik.</w:t>
      </w:r>
    </w:p>
    <w:p>
      <w:pPr>
        <w:tabs>
          <w:tab w:val="left" w:pos="720" w:leader="none"/>
        </w:tabs>
        <w:spacing w:before="100" w:after="1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422" w:dyaOrig="2895">
          <v:rect xmlns:o="urn:schemas-microsoft-com:office:office" xmlns:v="urn:schemas-microsoft-com:vml" id="rectole0000000001" style="width:421.100000pt;height:144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 adatbázisban összesen 12 tábla található, amelyek különböz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ípusú adatokat tárolnak, például válaszokat, cégeket, tranzakciókat és felhasználói kapcsolatokat. A válaszokat tartalmazó answers tábla a kérdésekkel kapcsolódik, mivel a question_id idegen kulcsként a questions táblában lév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érdésekhez rendeli a válaszokat. A cégeket és azok kapcsolatait a company_connections tábla tárolja, amely a companies táblával van összekapcsolva a company_id idegen kulcs segítségével. Ezen kívül a felmérésekkel kapcsolatos adatokat a survey_connections tábla kezeli, amely a survey_set táblával van összekapcsolva, így biztosítva, hogy minden kapcsolat egy adott felméréshez tartozzon. A felhasználók közötti kapcsolatok a user_connections táblában kerülnek rögzítésre, ahol a user_id idegen kulcs a users táblától származó felhasználókhoz rendeli a kapcsolatokat. Az idegen kulcsok biztosítják, hogy a táblák közötti kapcsolatok helyesen és összhangban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ödjenek, lehet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téve az adatok integrálását és kereshet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égét a rendszerben. A táblák közötti kapcsolatok fontosak, mert lehet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teszik a különböz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adatok hat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ékony kezelését, nyomon követését és feldolgozását, biztosítva a rendszer megfelel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műk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ödését.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5220">
          <v:rect xmlns:o="urn:schemas-microsoft-com:office:office" xmlns:v="urn:schemas-microsoft-com:vml" id="rectole0000000002" style="width:432.000000pt;height:261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100" w:after="1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 adatbázisban az ENUM típusú mez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ők a tranzakci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ók típusainak meghatározására szolgálnak. A credit_transactions és transactions táblákban a transaction_type mez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őben tal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álható ENUM típus, amely az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őre meghat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ározott értékeket tartalmazza. A credit_transactions táblában a lehetséges értékek a purchase (vásárlás) és spend (kiadás), míg a transactions táblában a purchase (vásárlás) és survey (felmérés) értékek szerepelnek. Ezen kívül az ENUM típusú connection_type mez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a company_connections, survey_connections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user_connections táblákban is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őfordul, ahol az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értékek a kapcsolatok típusait határozzák meg, például 'survey', 'transaction', 'answer' és 'response'. Az ENUM típus biztosítja, hogy a mez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értékei csak a meghatározott lehet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égek egyikét vehetik fel, így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őseg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ítve az adatkonzisztenciát és a lekérdezések egyszer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ítését.</w:t>
      </w:r>
    </w:p>
    <w:p>
      <w:pPr>
        <w:spacing w:before="100" w:after="1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rendszer úgy van felépítve, hogy kombinálja az ENUM típusú kapcsolatok egyszer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égét az idegen kulcsos kapcsolatok rugalmasságával. Az ENUM típus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ént olyan kategóriákhoz használatos, amelyek ritkán változnak, míg az idegen kulcsos kapcsolatok a táblák közötti dinamikus összekapcsolást biztosítják.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