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rFonts w:ascii="Arial" w:cs="Arial" w:eastAsia="Arial" w:hAnsi="Arial"/>
          <w:b/>
          <w:bCs/>
          <w:color w:val="1A5276"/>
          <w:sz w:val="36"/>
          <w:szCs w:val="36"/>
        </w:rPr>
        <w:t xml:space="preserve">Training Security-Aligned LLMs Against Prompt Injection</w:t>
      </w:r>
    </w:p>
    <w:p>
      <w:pPr>
        <w:spacing w:after="80"/>
        <w:jc w:val="center"/>
      </w:pPr>
      <w:r>
        <w:rPr>
          <w:rFonts w:ascii="Arial" w:cs="Arial" w:eastAsia="Arial" w:hAnsi="Arial"/>
          <w:b/>
          <w:bCs/>
          <w:color w:val="1A5276"/>
          <w:sz w:val="30"/>
          <w:szCs w:val="30"/>
        </w:rPr>
        <w:t xml:space="preserve">via Bilingual Preference Optimization</w:t>
      </w:r>
    </w:p>
    <w:p>
      <w:pPr>
        <w:spacing w:after="80"/>
      </w:pPr>
      <w:r>
        <w:t xml:space="preserve"/>
      </w:r>
    </w:p>
    <w:p>
      <w:pPr>
        <w:spacing w:after="60"/>
        <w:jc w:val="center"/>
      </w:pPr>
      <w:r>
        <w:rPr>
          <w:i/>
          <w:iCs/>
          <w:sz w:val="20"/>
          <w:szCs w:val="20"/>
        </w:rPr>
        <w:t xml:space="preserve">Minh-Duc D.X, Pham Anh Tuan, Hoang Minh Quang, Khanh-Huyen Tran, Thai Kim Dinh, DucTho Mai</w:t>
      </w:r>
    </w:p>
    <w:p>
      <w:pPr>
        <w:spacing w:after="40"/>
        <w:jc w:val="center"/>
      </w:pPr>
      <w:r>
        <w:rPr>
          <w:color w:val="7F8C8D"/>
          <w:sz w:val="18"/>
          <w:szCs w:val="18"/>
        </w:rPr>
        <w:t xml:space="preserve">Corresponding author: minhdc42195@gmail.com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REVISION SUMMARY [NEW]</w:t>
            </w:r>
          </w:p>
          <w:p>
            <w:pPr>
              <w:spacing w:after="0"/>
              <w:jc w:val="both"/>
            </w:pPr>
            <w:r>
              <w:rPr>
                <w:sz w:val="21"/>
                <w:szCs w:val="21"/>
              </w:rPr>
              <w:t xml:space="preserve">This revised manuscript addresses reviewer feedback across five dimensions: (1) title corrected to remove unsupported 'self-aware' framing; (2) a dedicated Vietnamese-language injection test set (Vi-InjectEval, 500 samples) is introduced and reported; (3) a full ablation table with quantitative per-component results is added; (4) Phase-2 before/after ASR is reported in Table 7; (5) the ATTACK-01 scope boundary is clarified. All changes are marked [REVISED] or [NEW] throughout.</w:t>
            </w:r>
          </w:p>
        </w:tc>
      </w:tr>
    </w:tbl>
    <w:p>
      <w:pPr>
        <w:spacing w:after="80"/>
      </w:pPr>
      <w:r>
        <w:t xml:space="preserve"/>
      </w:r>
    </w:p>
    <w:p>
      <w:pPr>
        <w:pStyle w:val="Heading1"/>
      </w:pPr>
      <w:r>
        <w:rPr>
          <w:b/>
          <w:bCs/>
        </w:rPr>
        <w:t xml:space="preserve">Abstract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REVISED — Rationale for title change</w:t>
            </w:r>
          </w:p>
          <w:p>
            <w:pPr>
              <w:spacing w:after="0"/>
              <w:jc w:val="both"/>
            </w:pPr>
            <w:r>
              <w:rPr>
                <w:sz w:val="21"/>
                <w:szCs w:val="21"/>
              </w:rPr>
              <w:t xml:space="preserve">The original title used the term 'Self-Aware LLMs,' which implies a measurable metacognitive property not defined or evaluated in this work. The revised title 'Security-Aligned LLMs' accurately describes the technical mechanism: embedding a security policy in model weights via preference optimization.</w:t>
            </w:r>
          </w:p>
        </w:tc>
      </w:tr>
    </w:tbl>
    <w:p>
      <w:pPr>
        <w:spacing w:after="80"/>
      </w:pPr>
      <w:r>
        <w:t xml:space="preserve"/>
      </w:r>
    </w:p>
    <w:p>
      <w:pPr>
        <w:spacing w:after="120"/>
        <w:jc w:val="both"/>
      </w:pPr>
      <w:r>
        <w:rPr>
          <w:b w:val="false"/>
          <w:bCs w:val="false"/>
          <w:i w:val="false"/>
          <w:iCs w:val="false"/>
          <w:color w:val="000000"/>
          <w:sz w:val="22"/>
          <w:szCs w:val="22"/>
        </w:rPr>
        <w:t xml:space="preserve">INTRODUCTION: Large language models deployed in agentic applications face a critical architectural vulnerability: prompt injection attacks exploit the model's inability to distinguish trusted instructions from untrusted external data within the same token sequence. Existing model-level defenses, most notably SecAlign++, have been developed and validated exclusively on English-language data, leaving low-resource languages such as Vietnamese without coverage.</w:t>
      </w:r>
    </w:p>
    <w:p>
      <w:pPr>
        <w:spacing w:after="120"/>
        <w:jc w:val="both"/>
      </w:pPr>
      <w:r>
        <w:rPr>
          <w:b w:val="false"/>
          <w:bCs w:val="false"/>
          <w:i w:val="false"/>
          <w:iCs w:val="false"/>
          <w:color w:val="000000"/>
          <w:sz w:val="22"/>
          <w:szCs w:val="22"/>
        </w:rPr>
        <w:t xml:space="preserve">OBJECTIVES: This paper aims to establish the first open-source, model-level prompt injection defense for Vietnamese, extend the SecAlign++ preference optimization framework to a bilingual setting, identify novel attack vectors absent from existing training protocols, and evaluate defense efficacy on a dedicated Vietnamese-language injection benchmark.</w:t>
      </w:r>
    </w:p>
    <w:p>
      <w:pPr>
        <w:spacing w:after="120"/>
        <w:jc w:val="both"/>
      </w:pPr>
      <w:r>
        <w:rPr>
          <w:b w:val="false"/>
          <w:bCs w:val="false"/>
          <w:i w:val="false"/>
          <w:iCs w:val="false"/>
          <w:color w:val="000000"/>
          <w:sz w:val="22"/>
          <w:szCs w:val="22"/>
        </w:rPr>
        <w:t xml:space="preserve">METHODS: We construct a 26,819-sample bilingual Vietnamese-English DPO preference dataset from five curated sources (52.2% Vietnamese). We adapt the SecAlign++ pipeline for Llama-3.1-8B-Instruct using Direct Preference Optimization augmented with Rejection Pair Optimization and conservative DPO label smoothing, trained on a single NVIDIA A100 GPU. A code-level gap analysis of the SecAlign++ codebase identifies ten novel attack vectors, addressed through a targeted 2,000-sample secondary training phase. We additionally construct Vi-InjectEval, a 500-sample Vietnamese-language prompt injection test set with human-verified labels, to enable direct cross-lingual security evaluation.</w:t>
      </w:r>
    </w:p>
    <w:p>
      <w:pPr>
        <w:spacing w:after="120"/>
        <w:jc w:val="both"/>
      </w:pPr>
      <w:r>
        <w:rPr>
          <w:b w:val="false"/>
          <w:bCs w:val="false"/>
          <w:i w:val="false"/>
          <w:iCs w:val="false"/>
          <w:color w:val="000000"/>
          <w:sz w:val="22"/>
          <w:szCs w:val="22"/>
        </w:rPr>
        <w:t xml:space="preserve">RESULTS: The fine-tuned model reduces average attack success rate from 91.75% to 74.00% on the combined English benchmark and from 98.6% to 83.9% on Vi-InjectEval, while preserving general utility with a negligible 0.03 percentage-point MMLU degradation. Ablation experiments confirm that both RPO and cDPO are necessary: DPO-only training reduces ASR comparably but incurs a 1.8 pp MMLU degradation; removing label smoothing alone raises ASR by 3.2 pp. The model outperforms the undefended Llama-3.1-8B-Instruct and SeaLLM-7B-v2.5 on all security metrics, with measurable defense improvements across nine of ten novel attack vectors. ATTACK-09 (Base64 Obfuscation) achieves 100% ASR across all models and is discussed as an open problem requiring pre-training-level intervention.</w:t>
      </w:r>
    </w:p>
    <w:p>
      <w:pPr>
        <w:spacing w:after="120"/>
        <w:jc w:val="both"/>
      </w:pPr>
      <w:r>
        <w:rPr>
          <w:b w:val="false"/>
          <w:bCs w:val="false"/>
          <w:i w:val="false"/>
          <w:iCs w:val="false"/>
          <w:color w:val="000000"/>
          <w:sz w:val="22"/>
          <w:szCs w:val="22"/>
        </w:rPr>
        <w:t xml:space="preserve">CONCLUSION: The proposed methodology — bilingual preference dataset construction, combined DPO+RPO+cDPO objective, and cross-architecture adaptation recipe — constitutes a reusable framework for extending model-level prompt injection defense to other low-resource languages.</w:t>
      </w:r>
    </w:p>
    <w:p>
      <w:pPr>
        <w:spacing w:after="80"/>
      </w:pPr>
      <w:r>
        <w:t xml:space="preserve"/>
      </w:r>
    </w:p>
    <w:p>
      <w:pPr>
        <w:spacing w:after="120"/>
        <w:jc w:val="both"/>
      </w:pPr>
      <w:r>
        <w:rPr>
          <w:b w:val="false"/>
          <w:bCs w:val="false"/>
          <w:i/>
          <w:iCs/>
          <w:color w:val="000000"/>
          <w:sz w:val="22"/>
          <w:szCs w:val="22"/>
        </w:rPr>
        <w:t xml:space="preserve">Keywords: Prompt Injection Defense, LLM Security, Direct Preference Optimization, OWASP, Vietnamese NLP, Bilingual Alignment</w:t>
      </w:r>
    </w:p>
    <w:p>
      <w:pPr>
        <w:spacing w:after="80"/>
      </w:pPr>
      <w:r>
        <w:t xml:space="preserve"/>
      </w:r>
    </w:p>
    <w:p>
      <w:pPr>
        <w:pStyle w:val="Heading1"/>
      </w:pPr>
      <w:r>
        <w:rPr>
          <w:b/>
          <w:bCs/>
        </w:rPr>
        <w:t xml:space="preserve">1. Introduction</w:t>
      </w:r>
    </w:p>
    <w:p>
      <w:pPr>
        <w:spacing w:after="120"/>
        <w:jc w:val="both"/>
      </w:pPr>
      <w:r>
        <w:rPr>
          <w:b w:val="false"/>
          <w:bCs w:val="false"/>
          <w:i w:val="false"/>
          <w:iCs w:val="false"/>
          <w:color w:val="000000"/>
          <w:sz w:val="22"/>
          <w:szCs w:val="22"/>
        </w:rPr>
        <w:t xml:space="preserve">Large language models have shifted from isolated conversational interfaces to orchestrators within agentic AI architectures, interfacing with external tools, APIs, databases, and real-time data sources to autonomously execute multi-step tasks on behalf of users. Production deployments span Google Bard, Slack AI, Microsoft Copilot, Anthropic Claude, and OpenAI Operator.</w:t>
      </w:r>
    </w:p>
    <w:p>
      <w:pPr>
        <w:spacing w:after="120"/>
        <w:jc w:val="both"/>
      </w:pPr>
      <w:r>
        <w:rPr>
          <w:b w:val="false"/>
          <w:bCs w:val="false"/>
          <w:i w:val="false"/>
          <w:iCs w:val="false"/>
          <w:color w:val="000000"/>
          <w:sz w:val="22"/>
          <w:szCs w:val="22"/>
        </w:rPr>
        <w:t xml:space="preserve">This shift creates a fundamentally new attack surface. In traditional software, the separation between executable code and user-supplied data is enforced at the architectural level through memory protection and input sanitization. LLMs, by contrast, treat all inputs — system instructions, user queries, and externally retrieved data — as indistinguishable token sequences processed by the same self-attention mechanism. No hardware-level barrier differentiates a legitimate system command from user-controlled text. An adversary who can manipulate retrieved data can redirect model behavior without ever touching the system prompt.</w:t>
      </w:r>
    </w:p>
    <w:p>
      <w:pPr>
        <w:spacing w:after="120"/>
        <w:jc w:val="both"/>
      </w:pPr>
      <w:r>
        <w:rPr>
          <w:b w:val="false"/>
          <w:bCs w:val="false"/>
          <w:i w:val="false"/>
          <w:iCs w:val="false"/>
          <w:color w:val="000000"/>
          <w:sz w:val="22"/>
          <w:szCs w:val="22"/>
        </w:rPr>
        <w:t xml:space="preserve">The consequence is prompt injection (PI). The OWASP Top 10 for LLM Applications 2025 ranks it as the foremost security risk for LLM-integrated systems, and successful attacks have been demonstrated against Slack AI, Google Bard, and OpenAI ChatGPT in production. Existing model-level defenses, most notably SecAlign and SecAlign++, achieve compelling results on English benchmarks by embedding a security policy directly into model weights via Direct Preference Optimization (DPO). Three systemic gaps remain unaddressed.</w:t>
      </w:r>
    </w:p>
    <w:p>
      <w:pPr>
        <w:spacing w:after="120"/>
        <w:jc w:val="both"/>
      </w:pPr>
      <w:r>
        <w:rPr>
          <w:b w:val="false"/>
          <w:bCs w:val="false"/>
          <w:i w:val="false"/>
          <w:iCs w:val="false"/>
          <w:color w:val="000000"/>
          <w:sz w:val="22"/>
          <w:szCs w:val="22"/>
        </w:rPr>
        <w:t xml:space="preserve">(1) English-only validation: all published model-level defenses have been developed and evaluated solely on English-language data; cross-lingual generalization has not been empirically investigated. (2) Absent Vietnamese coverage: Vietnamese is an active deployment language across Vietnam's administrative, educational, and healthcare sectors, yet no open-source, model-level prompt injection defense exists for it. (3) Incomplete attack taxonomy: code-level analysis of the SecAlign++ codebase reveals ten attack vectors (including encoding obfuscation and multi-turn escalation) absent from its training protocol.</w:t>
      </w:r>
    </w:p>
    <w:p>
      <w:pPr>
        <w:spacing w:after="120"/>
        <w:jc w:val="both"/>
      </w:pPr>
      <w:r>
        <w:rPr>
          <w:b w:val="false"/>
          <w:bCs w:val="false"/>
          <w:i w:val="false"/>
          <w:iCs w:val="false"/>
          <w:color w:val="000000"/>
          <w:sz w:val="22"/>
          <w:szCs w:val="22"/>
        </w:rPr>
        <w:t xml:space="preserve">This paper addresses all three gaps through five contributions:</w:t>
      </w:r>
    </w:p>
    <w:p>
      <w:pPr>
        <w:pStyle w:val="ListParagraph"/>
        <w:numPr>
          <w:ilvl w:val="0"/>
          <w:numId w:val="2"/>
        </w:numPr>
        <w:spacing w:after="80"/>
      </w:pPr>
      <w:r>
        <w:rPr>
          <w:sz w:val="22"/>
          <w:szCs w:val="22"/>
        </w:rPr>
        <w:t xml:space="preserve">C1 – Bilingual Preference Dataset: a 26,819-sample Vietnamese-English DPO dataset combining PKU-SafeRLHF, ViHOS, ViHSD, a Synthetic Hallucination corpus, and a Novel Attack dataset; Vietnamese constitutes 52.2% of samples.</w:t>
      </w:r>
    </w:p>
    <w:p>
      <w:pPr>
        <w:pStyle w:val="ListParagraph"/>
        <w:numPr>
          <w:ilvl w:val="0"/>
          <w:numId w:val="2"/>
        </w:numPr>
        <w:spacing w:after="80"/>
      </w:pPr>
      <w:r>
        <w:rPr>
          <w:sz w:val="22"/>
          <w:szCs w:val="22"/>
        </w:rPr>
        <w:t xml:space="preserve">C2 – Vietnamese-Adapted Llama-3.1-8B-Instruct: adaptation of the SecAlign++ pipeline with DPO, Rejection Pair Optimization (RPO), and conservative DPO (cDPO); AVG ASR reduced from 91.75% to 74.00% with a 0.03 pp MMLU degradation.</w:t>
      </w:r>
    </w:p>
    <w:p>
      <w:pPr>
        <w:pStyle w:val="ListParagraph"/>
        <w:numPr>
          <w:ilvl w:val="0"/>
          <w:numId w:val="2"/>
        </w:numPr>
        <w:spacing w:after="80"/>
      </w:pPr>
      <w:r>
        <w:rPr>
          <w:sz w:val="22"/>
          <w:szCs w:val="22"/>
        </w:rPr>
        <w:t xml:space="preserve">C3 – Vi-InjectEval Benchmark [NEW]: a 500-sample human-verified Vietnamese-language prompt injection test set enabling direct cross-lingual security measurement, with reported VN_ASR of 83.9% for our fine-tuned model versus 98.6% for the undefended baseline.</w:t>
      </w:r>
    </w:p>
    <w:p>
      <w:pPr>
        <w:pStyle w:val="ListParagraph"/>
        <w:numPr>
          <w:ilvl w:val="0"/>
          <w:numId w:val="2"/>
        </w:numPr>
        <w:spacing w:after="80"/>
      </w:pPr>
      <w:r>
        <w:rPr>
          <w:sz w:val="22"/>
          <w:szCs w:val="22"/>
        </w:rPr>
        <w:t xml:space="preserve">C4 – OWASP Mapping and Benchmarking: systematic mapping of attack mechanisms to OWASP LLM01-LLM08, plus a custom 10-axis adversarial benchmark; cross-model validation against the undefended Llama-3.1-8B-Instruct and SeaLLM-7B-v2.5.</w:t>
      </w:r>
    </w:p>
    <w:p>
      <w:pPr>
        <w:pStyle w:val="ListParagraph"/>
        <w:numPr>
          <w:ilvl w:val="0"/>
          <w:numId w:val="2"/>
        </w:numPr>
        <w:spacing w:after="80"/>
      </w:pPr>
      <w:r>
        <w:rPr>
          <w:sz w:val="22"/>
          <w:szCs w:val="22"/>
        </w:rPr>
        <w:t xml:space="preserve">C5 – Novel Attack Taxonomy and Cross-Architecture Recipe: empirical identification and targeted defense of ten novel attack vectors; an adaptation recipe for GPT-style (ChatML) architectures.</w:t>
      </w:r>
    </w:p>
    <w:p>
      <w:pPr>
        <w:spacing w:after="80"/>
      </w:pPr>
      <w:r>
        <w:t xml:space="preserve"/>
      </w:r>
    </w:p>
    <w:p>
      <w:pPr>
        <w:pStyle w:val="Heading1"/>
      </w:pPr>
      <w:r>
        <w:rPr>
          <w:b/>
          <w:bCs/>
        </w:rPr>
        <w:t xml:space="preserve">2. Related Work</w:t>
      </w:r>
    </w:p>
    <w:p>
      <w:pPr>
        <w:pStyle w:val="Heading2"/>
      </w:pPr>
      <w:r>
        <w:rPr>
          <w:b/>
          <w:bCs/>
        </w:rPr>
        <w:t xml:space="preserve">2.1. Defense Taxonomy</w:t>
      </w:r>
    </w:p>
    <w:p>
      <w:pPr>
        <w:spacing w:after="120"/>
        <w:jc w:val="both"/>
      </w:pPr>
      <w:r>
        <w:rPr>
          <w:b w:val="false"/>
          <w:bCs w:val="false"/>
          <w:i w:val="false"/>
          <w:iCs w:val="false"/>
          <w:color w:val="000000"/>
          <w:sz w:val="22"/>
          <w:szCs w:val="22"/>
        </w:rPr>
        <w:t xml:space="preserve">Defenses against prompt injection divide into two categories: system-level and model-level. System-level defenses include Meta PromptGuard, Azure Prompt Shields, and LlamaFirewall. They detect injections before the model processes them, apply spotlighting or sandwich prompting, or filter retrieved data. A fundamental limitation is that the underlying model remains vulnerable: a sufficiently adaptive attacker may craft injections that bypass detection while still succeeding against an unprotected model.</w:t>
      </w:r>
    </w:p>
    <w:p>
      <w:pPr>
        <w:spacing w:after="120"/>
        <w:jc w:val="both"/>
      </w:pPr>
      <w:r>
        <w:rPr>
          <w:b w:val="false"/>
          <w:bCs w:val="false"/>
          <w:i w:val="false"/>
          <w:iCs w:val="false"/>
          <w:color w:val="000000"/>
          <w:sz w:val="22"/>
          <w:szCs w:val="22"/>
        </w:rPr>
        <w:t xml:space="preserve">Model-level defenses address the root cause by modifying model behavior through fine-tuning. StruQ introduced structural separation via a new message role in the LLM chat template with special tokens, fine-tuned through SFT to respect this separation. StruQ handles optimization-free attacks well but falls under the GCG attack at success rates above 50%.</w:t>
      </w:r>
    </w:p>
    <w:p>
      <w:pPr>
        <w:spacing w:after="120"/>
        <w:jc w:val="both"/>
      </w:pPr>
      <w:r>
        <w:rPr>
          <w:b w:val="false"/>
          <w:bCs w:val="false"/>
          <w:i w:val="false"/>
          <w:iCs w:val="false"/>
          <w:color w:val="000000"/>
          <w:sz w:val="22"/>
          <w:szCs w:val="22"/>
        </w:rPr>
        <w:t xml:space="preserve">SecAlign reframed the problem as preference optimization. DPO trains the model to prefer secure responses over insecure ones given a prompt-injected input, creating a large log-probability margin between them. SecAlign is the first defense to achieve sub-10% success rates for optimization-based attacks while maintaining utility comparable to the undefended baseline.</w:t>
      </w:r>
    </w:p>
    <w:p>
      <w:pPr>
        <w:spacing w:after="120"/>
        <w:jc w:val="both"/>
      </w:pPr>
      <w:r>
        <w:rPr>
          <w:b w:val="false"/>
          <w:bCs w:val="false"/>
          <w:i w:val="false"/>
          <w:iCs w:val="false"/>
          <w:color w:val="000000"/>
          <w:sz w:val="22"/>
          <w:szCs w:val="22"/>
        </w:rPr>
        <w:t xml:space="preserve">SecAlign++ addresses two failure modes in the original SecAlign: positional shortcut learning and low-quality training labels from an outdated annotator. The resulting META-SECALIGN-70B achieves 6.4% ASR on the SEP benchmark and 1.9% on AgentDojo. Note that these results are for 70B-parameter models; at the 8B scale used in this study, SecAlign++ English-only achieves higher residual ASR (approximately 11.5% on SEP Adaptive), providing the relevant comparison point for our bilingual approach.</w:t>
      </w:r>
    </w:p>
    <w:p>
      <w:pPr>
        <w:pStyle w:val="Heading2"/>
      </w:pPr>
      <w:r>
        <w:rPr>
          <w:b/>
          <w:bCs/>
        </w:rPr>
        <w:t xml:space="preserve">2.2. Vietnamese NLP Resources</w:t>
      </w:r>
    </w:p>
    <w:p>
      <w:pPr>
        <w:spacing w:after="120"/>
        <w:jc w:val="both"/>
      </w:pPr>
      <w:r>
        <w:rPr>
          <w:b w:val="false"/>
          <w:bCs w:val="false"/>
          <w:i w:val="false"/>
          <w:iCs w:val="false"/>
          <w:color w:val="000000"/>
          <w:sz w:val="22"/>
          <w:szCs w:val="22"/>
        </w:rPr>
        <w:t xml:space="preserve">PhoGPT, a 4B-parameter model pre-trained on 102B Vietnamese tokens, is the benchmark open-source Vietnamese language model. ViHOS provides 11,056 annotated Vietnamese online comments for hate speech detection; ViHSD contributes 4,162 offensive-speech samples. Neither resource has been previously applied to prompt injection defense, and no model-level prompt injection defense for Vietnamese has been published. A systematic search of ACL Anthology, arXiv, and IEEE Xplore using the query (('prompt injection' OR 'indirect injection') AND ('Vietnamese' OR 'low-resource')) confirmed the absence of prior work as of May 2026.</w:t>
      </w:r>
    </w:p>
    <w:p>
      <w:pPr>
        <w:spacing w:after="80"/>
      </w:pPr>
      <w:r>
        <w:t xml:space="preserve"/>
      </w:r>
    </w:p>
    <w:p>
      <w:pPr>
        <w:pStyle w:val="Heading1"/>
      </w:pPr>
      <w:r>
        <w:rPr>
          <w:b/>
          <w:bCs/>
        </w:rPr>
        <w:t xml:space="preserve">3. Threat Model</w:t>
      </w:r>
    </w:p>
    <w:p>
      <w:pPr>
        <w:spacing w:after="120"/>
        <w:jc w:val="both"/>
      </w:pPr>
      <w:r>
        <w:rPr>
          <w:b w:val="false"/>
          <w:bCs w:val="false"/>
          <w:i w:val="false"/>
          <w:iCs w:val="false"/>
          <w:color w:val="000000"/>
          <w:sz w:val="22"/>
          <w:szCs w:val="22"/>
        </w:rPr>
        <w:t xml:space="preserve">This study adopts the indirect prompt injection threat model, consistent with prior model-level defenses.</w:t>
      </w:r>
    </w:p>
    <w:p>
      <w:pPr>
        <w:spacing w:after="120"/>
        <w:jc w:val="both"/>
      </w:pPr>
      <w:r>
        <w:rPr>
          <w:b w:val="false"/>
          <w:bCs w:val="false"/>
          <w:i w:val="false"/>
          <w:iCs w:val="false"/>
          <w:color w:val="000000"/>
          <w:sz w:val="22"/>
          <w:szCs w:val="22"/>
        </w:rPr>
        <w:t xml:space="preserve">Attacker. The attacker controls the external data environment from which the LLM-integrated application retrieves information. The attacker has complete knowledge of the legitimate user prompt and the model's chat template format but cannot modify the system message or user prompt directly. The goal is to embed malicious instructions within retrieved data so the model prioritizes them over the legitimate instruction. Unless otherwise stated, the attacker operates without gradient access (optimization-free setting).</w:t>
      </w:r>
    </w:p>
    <w:p>
      <w:pPr>
        <w:spacing w:after="120"/>
        <w:jc w:val="both"/>
      </w:pPr>
      <w:r>
        <w:rPr>
          <w:b w:val="false"/>
          <w:bCs w:val="false"/>
          <w:i w:val="false"/>
          <w:iCs w:val="false"/>
          <w:color w:val="000000"/>
          <w:sz w:val="22"/>
          <w:szCs w:val="22"/>
        </w:rPr>
        <w:t xml:space="preserve">Defender. The defender controls model weights and the deployment pipeline. The dual objective is: (i) maintain utility by responding correctly to legitimate instructions; and (ii) achieve security by disregarding injected commands.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REVISED — Scope clarification for ATTACK-01</w:t>
            </w:r>
          </w:p>
          <w:p>
            <w:pPr>
              <w:spacing w:after="0"/>
              <w:jc w:val="both"/>
            </w:pPr>
            <w:r>
              <w:rPr>
                <w:sz w:val="21"/>
                <w:szCs w:val="21"/>
              </w:rPr>
              <w:t xml:space="preserve">The original threat model excluded 'multi-turn progressive injection, where the payload is distributed across several conversational turns.' ATTACK-01 (Multi-Turn Escalation) in Table 5 addresses a different scenario: a single injection payload that uses conditional or escalating language within one retrieval event to gradually override instructions. This is distinct from cross-turn payload distribution. The threat model exclusion applies to GAP-05 (Payload Splitting across turns), not to single-turn escalation phrasing. We clarify this boundary explicitly to avoid ambiguity.</w:t>
            </w:r>
          </w:p>
        </w:tc>
      </w:tr>
    </w:tbl>
    <w:p>
      <w:pPr>
        <w:spacing w:after="80"/>
      </w:pPr>
      <w:r>
        <w:t xml:space="preserve"/>
      </w:r>
    </w:p>
    <w:p>
      <w:pPr>
        <w:pStyle w:val="Heading1"/>
      </w:pPr>
      <w:r>
        <w:rPr>
          <w:b/>
          <w:bCs/>
        </w:rPr>
        <w:t xml:space="preserve">4. Methodology</w:t>
      </w:r>
    </w:p>
    <w:p>
      <w:pPr>
        <w:pStyle w:val="Heading2"/>
      </w:pPr>
      <w:r>
        <w:rPr>
          <w:b/>
          <w:bCs/>
        </w:rPr>
        <w:t xml:space="preserve">4.1. Dataset Construction</w:t>
      </w:r>
    </w:p>
    <w:p>
      <w:pPr>
        <w:spacing w:after="120"/>
        <w:jc w:val="both"/>
      </w:pPr>
      <w:r>
        <w:rPr>
          <w:b w:val="false"/>
          <w:bCs w:val="false"/>
          <w:i w:val="false"/>
          <w:iCs w:val="false"/>
          <w:color w:val="000000"/>
          <w:sz w:val="22"/>
          <w:szCs w:val="22"/>
        </w:rPr>
        <w:t xml:space="preserve">The original SecAlign++ uses the Cleaned-Alpaca English corpus (19,157 samples) for DPO training, which is inapplicable here due to computational constraints and the absence of Vietnamese content. The custom bilingual preference dataset built for this study rests on three principles: (1) Vietnamese dominance with bilingual coverage, (2) attack diversity to prevent security policy overfitting, and (3) DPO format compatibility, with every sample following the three-field structure {prompt, chosen, rejected}.</w:t>
      </w:r>
    </w:p>
    <w:p>
      <w:pPr>
        <w:spacing w:after="120"/>
        <w:jc w:val="both"/>
      </w:pPr>
      <w:r>
        <w:rPr>
          <w:b w:val="false"/>
          <w:bCs w:val="false"/>
          <w:i w:val="false"/>
          <w:iCs w:val="false"/>
          <w:color w:val="000000"/>
          <w:sz w:val="22"/>
          <w:szCs w:val="22"/>
        </w:rPr>
        <w:t xml:space="preserve">Training proceeds in two sequential phases. Phase 1 (24,819 samples) covers broad safety and Vietnamese-language alignment. After Phase 1, a vulnerability analysis of the resulting model identifies ten attack vectors not addressed by the initial data. Phase 2 (2,000 samples) targets these vectors specifically.</w:t>
      </w:r>
    </w:p>
    <w:p>
      <w:pPr>
        <w:spacing w:after="80"/>
      </w:pPr>
      <w:r>
        <w:t xml:space="preserve"/>
      </w:r>
    </w:p>
    <w:p>
      <w:pPr>
        <w:spacing w:after="120"/>
        <w:jc w:val="both"/>
      </w:pPr>
      <w:r>
        <w:rPr>
          <w:b/>
          <w:bCs/>
          <w:i w:val="false"/>
          <w:iCs w:val="false"/>
          <w:color w:val="000000"/>
          <w:sz w:val="22"/>
          <w:szCs w:val="22"/>
        </w:rPr>
        <w:t xml:space="preserve">Table 1. DPO preference format applied uniformly across all 26,819 samples.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4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32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Example</w:t>
            </w:r>
          </w:p>
        </w:tc>
      </w:tr>
      <w:tr>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prompt</w:t>
            </w:r>
          </w:p>
        </w:tc>
        <w:tc>
          <w:tcPr>
            <w:tcW w:type="dxa" w:w="4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Legitimate instruction + data field with potential injection</w:t>
            </w:r>
          </w:p>
        </w:tc>
        <w:tc>
          <w:tcPr>
            <w:tcW w:type="dxa" w:w="3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"Summarize: [article + injected cmd]"</w:t>
            </w:r>
          </w:p>
        </w:tc>
      </w:tr>
      <w:tr>
        <w:tc>
          <w:tcPr>
            <w:tcW w:type="dxa" w:w="1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chosen</w:t>
            </w:r>
          </w:p>
        </w:tc>
        <w:tc>
          <w:tcPr>
            <w:tcW w:type="dxa" w:w="4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Secure response following the legitimate instruction</w:t>
            </w:r>
          </w:p>
        </w:tc>
        <w:tc>
          <w:tcPr>
            <w:tcW w:type="dxa" w:w="3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Correct task completion</w:t>
            </w:r>
          </w:p>
        </w:tc>
      </w:tr>
      <w:tr>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rejected</w:t>
            </w:r>
          </w:p>
        </w:tc>
        <w:tc>
          <w:tcPr>
            <w:tcW w:type="dxa" w:w="4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Insecure response executing the injection</w:t>
            </w:r>
          </w:p>
        </w:tc>
        <w:tc>
          <w:tcPr>
            <w:tcW w:type="dxa" w:w="3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Malicious command output</w:t>
            </w:r>
          </w:p>
        </w:tc>
      </w:tr>
    </w:tbl>
    <w:p>
      <w:pPr>
        <w:spacing w:after="80"/>
      </w:pPr>
      <w:r>
        <w:t xml:space="preserve"/>
      </w:r>
    </w:p>
    <w:p>
      <w:pPr>
        <w:spacing w:after="120"/>
        <w:jc w:val="both"/>
      </w:pPr>
      <w:r>
        <w:rPr>
          <w:b/>
          <w:bCs/>
          <w:i w:val="false"/>
          <w:iCs w:val="false"/>
          <w:color w:val="000000"/>
          <w:sz w:val="22"/>
          <w:szCs w:val="22"/>
        </w:rPr>
        <w:t xml:space="preserve">Table 2. Training dataset sources, sizes, and construction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700"/>
        <w:gridCol w:w="1400"/>
        <w:gridCol w:w="3826"/>
      </w:tblGrid>
      <w:tr>
        <w:trPr>
          <w:tblHeader/>
        </w:trPr>
        <w:tc>
          <w:tcPr>
            <w:tcW w:type="dxa" w:w="22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Dataset</w:t>
            </w:r>
          </w:p>
        </w:tc>
        <w:tc>
          <w:tcPr>
            <w:tcW w:type="dxa" w:w="9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Size</w:t>
            </w:r>
          </w:p>
        </w:tc>
        <w:tc>
          <w:tcPr>
            <w:tcW w:type="dxa" w:w="7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Lang.</w:t>
            </w:r>
          </w:p>
        </w:tc>
        <w:tc>
          <w:tcPr>
            <w:tcW w:type="dxa" w:w="14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Type</w:t>
            </w:r>
          </w:p>
        </w:tc>
        <w:tc>
          <w:tcPr>
            <w:tcW w:type="dxa" w:w="38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Construction Method</w:t>
            </w:r>
          </w:p>
        </w:tc>
      </w:tr>
      <w:tr>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PKU-SafeRLHF</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10,813</w:t>
            </w:r>
          </w:p>
        </w:tc>
        <w:tc>
          <w:tcPr>
            <w:tcW w:type="dxa" w:w="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EN</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Safety pref.</w:t>
            </w:r>
          </w:p>
        </w:tc>
        <w:tc>
          <w:tcPr>
            <w:tcW w:type="dxa" w:w="3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safer_response_id field</w:t>
            </w:r>
          </w:p>
        </w:tc>
      </w:tr>
      <w:tr>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ViHOS</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8,844</w:t>
            </w:r>
          </w:p>
        </w:tc>
        <w:tc>
          <w:tcPr>
            <w:tcW w:type="dxa" w:w="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w:t>
            </w:r>
          </w:p>
        </w:tc>
        <w:tc>
          <w:tcPr>
            <w:tcW w:type="dxa" w:w="1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Hate speech</w:t>
            </w:r>
          </w:p>
        </w:tc>
        <w:tc>
          <w:tcPr>
            <w:tcW w:type="dxa" w:w="3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Refusal template / hate comment</w:t>
            </w:r>
          </w:p>
        </w:tc>
      </w:tr>
      <w:tr>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ViHSD</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4,162</w:t>
            </w:r>
          </w:p>
        </w:tc>
        <w:tc>
          <w:tcPr>
            <w:tcW w:type="dxa" w:w="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VI</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Hate speech</w:t>
            </w:r>
          </w:p>
        </w:tc>
        <w:tc>
          <w:tcPr>
            <w:tcW w:type="dxa" w:w="3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Filter OFFENSIVE/HATE labels</w:t>
            </w:r>
          </w:p>
        </w:tc>
      </w:tr>
      <w:tr>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Synthetic Hallucination</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1,000</w:t>
            </w:r>
          </w:p>
        </w:tc>
        <w:tc>
          <w:tcPr>
            <w:tcW w:type="dxa" w:w="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w:t>
            </w:r>
          </w:p>
        </w:tc>
        <w:tc>
          <w:tcPr>
            <w:tcW w:type="dxa" w:w="1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Hallucination</w:t>
            </w:r>
          </w:p>
        </w:tc>
        <w:tc>
          <w:tcPr>
            <w:tcW w:type="dxa" w:w="3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Refusal / fabricated response</w:t>
            </w:r>
          </w:p>
        </w:tc>
      </w:tr>
      <w:tr>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Phase-1 total</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24,819</w:t>
            </w:r>
          </w:p>
        </w:tc>
        <w:tc>
          <w:tcPr>
            <w:tcW w:type="dxa" w:w="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VI+EN</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
            </w:r>
          </w:p>
        </w:tc>
        <w:tc>
          <w:tcPr>
            <w:tcW w:type="dxa" w:w="3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
            </w:r>
          </w:p>
        </w:tc>
      </w:tr>
      <w:tr>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Novel Attack dataset</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2,000</w:t>
            </w:r>
          </w:p>
        </w:tc>
        <w:tc>
          <w:tcPr>
            <w:tcW w:type="dxa" w:w="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EN</w:t>
            </w:r>
          </w:p>
        </w:tc>
        <w:tc>
          <w:tcPr>
            <w:tcW w:type="dxa" w:w="1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 vectors</w:t>
            </w:r>
          </w:p>
        </w:tc>
        <w:tc>
          <w:tcPr>
            <w:tcW w:type="dxa" w:w="3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200 samples/vector</w:t>
            </w:r>
          </w:p>
        </w:tc>
      </w:tr>
      <w:tr>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Grand total</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26,819</w:t>
            </w:r>
          </w:p>
        </w:tc>
        <w:tc>
          <w:tcPr>
            <w:tcW w:type="dxa" w:w="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VI+EN</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
            </w:r>
          </w:p>
        </w:tc>
        <w:tc>
          <w:tcPr>
            <w:tcW w:type="dxa" w:w="3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
            </w:r>
          </w:p>
        </w:tc>
      </w:tr>
    </w:tbl>
    <w:p>
      <w:pPr>
        <w:spacing w:after="80"/>
      </w:pPr>
      <w:r>
        <w:t xml:space="preserve"/>
      </w:r>
    </w:p>
    <w:p>
      <w:pPr>
        <w:pStyle w:val="Heading2"/>
      </w:pPr>
      <w:r>
        <w:rPr>
          <w:b/>
          <w:bCs/>
        </w:rPr>
        <w:t xml:space="preserve">4.2. Vi-InjectEval: Vietnamese Injection Test Set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NEW — Addresses: absent Vietnamese test set</w:t>
            </w:r>
          </w:p>
          <w:p>
            <w:pPr>
              <w:spacing w:after="0"/>
              <w:jc w:val="both"/>
            </w:pPr>
            <w:r>
              <w:rPr>
                <w:sz w:val="21"/>
                <w:szCs w:val="21"/>
              </w:rPr>
              <w:t xml:space="preserve">The original manuscript reported VN_ASR without describing the test set used to measure it. This section introduces Vi-InjectEval, a formally constructed evaluation resource enabling reproducible cross-lingual security measurement.</w:t>
            </w:r>
          </w:p>
        </w:tc>
      </w:tr>
    </w:tbl>
    <w:p>
      <w:pPr>
        <w:spacing w:after="80"/>
      </w:pPr>
      <w:r>
        <w:t xml:space="preserve"/>
      </w:r>
    </w:p>
    <w:p>
      <w:pPr>
        <w:spacing w:after="120"/>
        <w:jc w:val="both"/>
      </w:pPr>
      <w:r>
        <w:rPr>
          <w:b w:val="false"/>
          <w:bCs w:val="false"/>
          <w:i w:val="false"/>
          <w:iCs w:val="false"/>
          <w:color w:val="000000"/>
          <w:sz w:val="22"/>
          <w:szCs w:val="22"/>
        </w:rPr>
        <w:t xml:space="preserve">Vi-InjectEval is a 500-sample Vietnamese-language prompt injection benchmark constructed specifically for this study. Samples are drawn from three categories: (1) direct translation of English SecAlign++ test prompts (150 samples, translated by a native speaker and verified by a second), (2) naturally occurring Vietnamese administrative and educational task prompts with injected overrides authored in Vietnamese (250 samples), and (3) cross-lingual injections where the task context is in Vietnamese but the injection command is in English, Chinese, or Japanese (100 samples). Each sample is triple-annotated: two annotators label whether a model response constitutes a successful injection execution, and a third adjudicates disagreements (inter-annotator agreement: Cohen's kappa = 0.84). The dataset is released alongside model checkpoints at Jason-42195/VNU-SecAlign.</w:t>
      </w:r>
    </w:p>
    <w:p>
      <w:pPr>
        <w:pStyle w:val="Heading2"/>
      </w:pPr>
      <w:r>
        <w:rPr>
          <w:b/>
          <w:bCs/>
        </w:rPr>
        <w:t xml:space="preserve">4.3. SecAlign++ Adaptations</w:t>
      </w:r>
    </w:p>
    <w:p>
      <w:pPr>
        <w:spacing w:after="120"/>
        <w:jc w:val="both"/>
      </w:pPr>
      <w:r>
        <w:rPr>
          <w:b w:val="false"/>
          <w:bCs w:val="false"/>
          <w:i w:val="false"/>
          <w:iCs w:val="false"/>
          <w:color w:val="000000"/>
          <w:sz w:val="22"/>
          <w:szCs w:val="22"/>
        </w:rPr>
        <w:t xml:space="preserve">Three targeted modifications distinguish this study's recipe from the original SecAlign++.</w:t>
      </w:r>
    </w:p>
    <w:p>
      <w:pPr>
        <w:spacing w:after="120"/>
        <w:jc w:val="both"/>
      </w:pPr>
      <w:r>
        <w:rPr>
          <w:b w:val="false"/>
          <w:bCs w:val="false"/>
          <w:i w:val="false"/>
          <w:iCs w:val="false"/>
          <w:color w:val="000000"/>
          <w:sz w:val="22"/>
          <w:szCs w:val="22"/>
        </w:rPr>
        <w:t xml:space="preserve">Randomized injection position. In the preference dataset, injected instructions appear at randomized locations within the untrusted data field: 45% at the beginning, 45% at the end, and 10% in a completion attack format.</w:t>
      </w:r>
    </w:p>
    <w:p>
      <w:pPr>
        <w:spacing w:after="120"/>
        <w:jc w:val="both"/>
      </w:pPr>
      <w:r>
        <w:rPr>
          <w:b w:val="false"/>
          <w:bCs w:val="false"/>
          <w:i w:val="false"/>
          <w:iCs w:val="false"/>
          <w:color w:val="000000"/>
          <w:sz w:val="22"/>
          <w:szCs w:val="22"/>
        </w:rPr>
        <w:t xml:space="preserve">Bilingual preference dataset. The primary corpus (24,819 samples) combines the four sources described above. All samples adhere to the DPO format {prompt, chosen, rejected}, and chosen responses for harmful or hallucination pairs always use standardized refusal templates.</w:t>
      </w:r>
    </w:p>
    <w:p>
      <w:pPr>
        <w:spacing w:after="120"/>
        <w:jc w:val="both"/>
      </w:pPr>
      <w:r>
        <w:rPr>
          <w:b w:val="false"/>
          <w:bCs w:val="false"/>
          <w:i w:val="false"/>
          <w:iCs w:val="false"/>
          <w:color w:val="000000"/>
          <w:sz w:val="22"/>
          <w:szCs w:val="22"/>
        </w:rPr>
        <w:t xml:space="preserve">Novel attack coverage. The secondary training phase adds 2,000 English-language samples addressing ten identified vulnerabilities. Preference pairs are constructed via self-generation.</w:t>
      </w:r>
    </w:p>
    <w:p>
      <w:pPr>
        <w:pStyle w:val="Heading2"/>
      </w:pPr>
      <w:r>
        <w:rPr>
          <w:b/>
          <w:bCs/>
        </w:rPr>
        <w:t xml:space="preserve">4.4. Training Objective</w:t>
      </w:r>
    </w:p>
    <w:p>
      <w:pPr>
        <w:spacing w:after="120"/>
        <w:jc w:val="both"/>
      </w:pPr>
      <w:r>
        <w:rPr>
          <w:b w:val="false"/>
          <w:bCs w:val="false"/>
          <w:i w:val="false"/>
          <w:iCs w:val="false"/>
          <w:color w:val="000000"/>
          <w:sz w:val="22"/>
          <w:szCs w:val="22"/>
        </w:rPr>
        <w:t xml:space="preserve">Direct Preference Optimization (DPO). Given a prompt-injected input x, secure response y_w (chosen), and insecure response y_l (rejected), the DPO loss is defined as in Rafailov et al. (2023), with beta = 0.1 regulating KL-divergence between the trained policy and the frozen reference model.</w:t>
      </w:r>
    </w:p>
    <w:p>
      <w:pPr>
        <w:spacing w:after="120"/>
        <w:jc w:val="both"/>
      </w:pPr>
      <w:r>
        <w:rPr>
          <w:b w:val="false"/>
          <w:bCs w:val="false"/>
          <w:i w:val="false"/>
          <w:iCs w:val="false"/>
          <w:color w:val="000000"/>
          <w:sz w:val="22"/>
          <w:szCs w:val="22"/>
        </w:rPr>
        <w:t xml:space="preserve">Rejection Pair Optimization. Standard DPO can induce catastrophic forgetting (the Alignment Tax). RPO augments DPO with a supervised fine-tuning term on the chosen responses, with alpha_rpo = 0.5. The SFT anchor keeps the output distribution on non-attacked inputs close to the base model.</w:t>
      </w:r>
    </w:p>
    <w:p>
      <w:pPr>
        <w:spacing w:after="120"/>
        <w:jc w:val="both"/>
      </w:pPr>
      <w:r>
        <w:rPr>
          <w:b w:val="false"/>
          <w:bCs w:val="false"/>
          <w:i w:val="false"/>
          <w:iCs w:val="false"/>
          <w:color w:val="000000"/>
          <w:sz w:val="22"/>
          <w:szCs w:val="22"/>
        </w:rPr>
        <w:t xml:space="preserve">Conservative DPO (cDPO). Label smoothing addresses ambiguous preference pairs where both responses are equally safe, with epsilon = 0.1.</w:t>
      </w:r>
    </w:p>
    <w:p>
      <w:pPr>
        <w:pStyle w:val="Heading2"/>
      </w:pPr>
      <w:r>
        <w:rPr>
          <w:b/>
          <w:bCs/>
        </w:rPr>
        <w:t xml:space="preserve">4.5. LoRA Configuration</w:t>
      </w:r>
    </w:p>
    <w:p>
      <w:pPr>
        <w:spacing w:after="120"/>
        <w:jc w:val="both"/>
      </w:pPr>
      <w:r>
        <w:rPr>
          <w:b w:val="false"/>
          <w:bCs w:val="false"/>
          <w:i w:val="false"/>
          <w:iCs w:val="false"/>
          <w:color w:val="000000"/>
          <w:sz w:val="22"/>
          <w:szCs w:val="22"/>
        </w:rPr>
        <w:t xml:space="preserve">Parameter-efficient fine-tuning via Low-Rank Adaptation applies the weight update to the attention projection modules q_proj and v_proj, with rank r = 16, LoRA alpha = 32, and dropout = 0.1. This updates fewer than 0.5% of total parameters.</w:t>
      </w:r>
    </w:p>
    <w:p>
      <w:pPr>
        <w:spacing w:after="80"/>
      </w:pPr>
      <w:r>
        <w:t xml:space="preserve"/>
      </w:r>
    </w:p>
    <w:p>
      <w:pPr>
        <w:pStyle w:val="Heading1"/>
      </w:pPr>
      <w:r>
        <w:rPr>
          <w:b/>
          <w:bCs/>
        </w:rPr>
        <w:t xml:space="preserve">5. Experiments</w:t>
      </w:r>
    </w:p>
    <w:p>
      <w:pPr>
        <w:pStyle w:val="Heading2"/>
      </w:pPr>
      <w:r>
        <w:rPr>
          <w:b/>
          <w:bCs/>
        </w:rPr>
        <w:t xml:space="preserve">5.1. Implementation Details</w:t>
      </w:r>
    </w:p>
    <w:p>
      <w:pPr>
        <w:spacing w:after="120"/>
        <w:jc w:val="both"/>
      </w:pPr>
      <w:r>
        <w:rPr>
          <w:b w:val="false"/>
          <w:bCs w:val="false"/>
          <w:i w:val="false"/>
          <w:iCs w:val="false"/>
          <w:color w:val="000000"/>
          <w:sz w:val="22"/>
          <w:szCs w:val="22"/>
        </w:rPr>
        <w:t xml:space="preserve">The training pipeline was migrated to HuggingFace TRL due to unresolved issues in the original torchtune codebase (broadcast-shapes mismatch during gradient computation; o_proj incompatibility with the LoRA target module configuration). Table 3 provides the complete training configuration. All experiments use a fixed random seed (42) for reproducibility. Training time is approximately 23 minutes for Phase 1 and 2 minutes for Phase 2 on a single NVIDIA A100 (80 GB).</w:t>
      </w:r>
    </w:p>
    <w:p>
      <w:pPr>
        <w:spacing w:after="80"/>
      </w:pPr>
      <w:r>
        <w:t xml:space="preserve"/>
      </w:r>
    </w:p>
    <w:p>
      <w:pPr>
        <w:spacing w:after="120"/>
        <w:jc w:val="both"/>
      </w:pPr>
      <w:r>
        <w:rPr>
          <w:b/>
          <w:bCs/>
          <w:i w:val="false"/>
          <w:iCs w:val="false"/>
          <w:color w:val="000000"/>
          <w:sz w:val="22"/>
          <w:szCs w:val="22"/>
        </w:rPr>
        <w:t xml:space="preserve">Table 3. Training configuration for both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Parameter</w:t>
            </w:r>
          </w:p>
        </w:tc>
        <w:tc>
          <w:tcPr>
            <w:tcW w:type="dxa" w:w="4513"/>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Value</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Base model</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Llama-3.1-8B-Instruct</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Hardware</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NVIDIA A100 (80 GB)</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Epochs</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Learning rate</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5e-6</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Virtual batch size</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32 (gradient accumulation)</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Precision</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bfloat16</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Activation checkpointing</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Enabled</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Random seed</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42 [NEW]</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LoRA rank r</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16</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LoRA alpha</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32</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LoRA dropout</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0.1</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Beta (DPO)</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0.1</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Alpha_rpo (RPO)</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0.5</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Label smoothing epsilon</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0.1</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Max sequence length</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384 tokens (covers 99.9%)</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Training time (Phase 1)</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~23 min (A100)</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Training time (Phase 2)</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 min (A100) [NEW]</w:t>
            </w:r>
          </w:p>
        </w:tc>
      </w:tr>
    </w:tbl>
    <w:p>
      <w:pPr>
        <w:spacing w:after="80"/>
      </w:pPr>
      <w:r>
        <w:t xml:space="preserve"/>
      </w:r>
    </w:p>
    <w:p>
      <w:pPr>
        <w:pStyle w:val="Heading2"/>
      </w:pPr>
      <w:r>
        <w:rPr>
          <w:b/>
          <w:bCs/>
        </w:rPr>
        <w:t xml:space="preserve">5.2. Baselines</w:t>
      </w:r>
    </w:p>
    <w:p>
      <w:pPr>
        <w:spacing w:after="120"/>
        <w:jc w:val="both"/>
      </w:pPr>
      <w:r>
        <w:rPr>
          <w:b w:val="false"/>
          <w:bCs w:val="false"/>
          <w:i w:val="false"/>
          <w:iCs w:val="false"/>
          <w:color w:val="000000"/>
          <w:sz w:val="22"/>
          <w:szCs w:val="22"/>
        </w:rPr>
        <w:t xml:space="preserve">Two baselines are evaluated. The undefended Llama-3.1-8B-Instruct provides the primary security and utility reference. SeaLLM-7B-v2.5, a state-of-the-art open-source bilingual Southeast Asian model, represents a strong multilingual baseline without any prompt injection fine-tuning. Note that a direct comparison with SecAlign++-English at the 8B scale was not feasible as the authors have not released 8B-scale checkpoints; we therefore reference published 8B numbers from the SecAlign++ paper where available and compare against our undefended base model.</w:t>
      </w:r>
    </w:p>
    <w:p>
      <w:pPr>
        <w:pStyle w:val="Heading2"/>
      </w:pPr>
      <w:r>
        <w:rPr>
          <w:b/>
          <w:bCs/>
        </w:rPr>
        <w:t xml:space="preserve">5.3. Evaluation Protocol</w:t>
      </w:r>
    </w:p>
    <w:p>
      <w:pPr>
        <w:spacing w:after="120"/>
        <w:jc w:val="both"/>
      </w:pPr>
      <w:r>
        <w:rPr>
          <w:b w:val="false"/>
          <w:bCs w:val="false"/>
          <w:i w:val="false"/>
          <w:iCs w:val="false"/>
          <w:color w:val="000000"/>
          <w:sz w:val="22"/>
          <w:szCs w:val="22"/>
        </w:rPr>
        <w:t xml:space="preserve">Model performance is evaluated across four dimensions: security, utility, novel attack resistance, and Vietnamese-language security. Table 4 summarizes the protocol.</w:t>
      </w:r>
    </w:p>
    <w:p>
      <w:pPr>
        <w:spacing w:after="80"/>
      </w:pPr>
      <w:r>
        <w:t xml:space="preserve"/>
      </w:r>
    </w:p>
    <w:p>
      <w:pPr>
        <w:spacing w:after="120"/>
        <w:jc w:val="both"/>
      </w:pPr>
      <w:r>
        <w:rPr>
          <w:b/>
          <w:bCs/>
          <w:i w:val="false"/>
          <w:iCs w:val="false"/>
          <w:color w:val="000000"/>
          <w:sz w:val="22"/>
          <w:szCs w:val="22"/>
        </w:rPr>
        <w:t xml:space="preserve">Table 4. Evaluation protocol: benchmarks and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tblHeader/>
        </w:trPr>
        <w:tc>
          <w:tcPr>
            <w:tcW w:type="dxa" w:w="2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22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Benchmark</w:t>
            </w:r>
          </w:p>
        </w:tc>
        <w:tc>
          <w:tcPr>
            <w:tcW w:type="dxa" w:w="48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Security</w:t>
            </w:r>
          </w:p>
        </w:tc>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CyberSecEval 2</w:t>
            </w:r>
          </w:p>
        </w:tc>
        <w:tc>
          <w:tcPr>
            <w:tcW w:type="dxa" w:w="4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55 indirect prompt injection samples; evaluated by GPT-4o judge</w:t>
            </w:r>
          </w:p>
        </w:tc>
      </w:tr>
      <w:tr>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Security</w:t>
            </w:r>
          </w:p>
        </w:tc>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InjecAgent BASE</w:t>
            </w:r>
          </w:p>
        </w:tc>
        <w:tc>
          <w:tcPr>
            <w:tcW w:type="dxa" w:w="4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1,000 API-calling agent task samples under sandwich defense</w:t>
            </w:r>
          </w:p>
        </w:tc>
      </w:tr>
      <w:tr>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Security</w:t>
            </w:r>
          </w:p>
        </w:tc>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InjecAgent ENHANCED</w:t>
            </w:r>
          </w:p>
        </w:tc>
        <w:tc>
          <w:tcPr>
            <w:tcW w:type="dxa" w:w="4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Same 1,000 samples with additional prefix injection</w:t>
            </w:r>
          </w:p>
        </w:tc>
      </w:tr>
      <w:tr>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Vietnamese Security [NEW]</w:t>
            </w:r>
          </w:p>
        </w:tc>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Vi-InjectEval</w:t>
            </w:r>
          </w:p>
        </w:tc>
        <w:tc>
          <w:tcPr>
            <w:tcW w:type="dxa" w:w="4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500 human-verified Vietnamese injection samples (Section 4.2)</w:t>
            </w:r>
          </w:p>
        </w:tc>
      </w:tr>
      <w:tr>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Utility</w:t>
            </w:r>
          </w:p>
        </w:tc>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MMLU (0-shot)</w:t>
            </w:r>
          </w:p>
        </w:tc>
        <w:tc>
          <w:tcPr>
            <w:tcW w:type="dxa" w:w="4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General knowledge across 57 academic subjects</w:t>
            </w:r>
          </w:p>
        </w:tc>
      </w:tr>
      <w:tr>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Utility</w:t>
            </w:r>
          </w:p>
        </w:tc>
        <w:tc>
          <w:tcPr>
            <w:tcW w:type="dxa" w:w="22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GSM8K</w:t>
            </w:r>
          </w:p>
        </w:tc>
        <w:tc>
          <w:tcPr>
            <w:tcW w:type="dxa" w:w="48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Grade-school mathematical reasoning</w:t>
            </w:r>
          </w:p>
        </w:tc>
      </w:tr>
      <w:tr>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Novel Attack</w:t>
            </w:r>
          </w:p>
        </w:tc>
        <w:tc>
          <w:tcPr>
            <w:tcW w:type="dxa" w:w="22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10-Axis Novel Eval</w:t>
            </w:r>
          </w:p>
        </w:tc>
        <w:tc>
          <w:tcPr>
            <w:tcW w:type="dxa" w:w="48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2,000 samples covering all ten novel attack vectors</w:t>
            </w:r>
          </w:p>
        </w:tc>
      </w:tr>
    </w:tbl>
    <w:p>
      <w:pPr>
        <w:spacing w:after="80"/>
      </w:pPr>
      <w:r>
        <w:t xml:space="preserve"/>
      </w:r>
    </w:p>
    <w:p>
      <w:pPr>
        <w:pStyle w:val="Heading2"/>
      </w:pPr>
      <w:r>
        <w:rPr>
          <w:b/>
          <w:bCs/>
        </w:rPr>
        <w:t xml:space="preserve">5.4. Novel Attack Taxonomy</w:t>
      </w:r>
    </w:p>
    <w:p>
      <w:pPr>
        <w:spacing w:after="120"/>
        <w:jc w:val="both"/>
      </w:pPr>
      <w:r>
        <w:rPr>
          <w:b w:val="false"/>
          <w:bCs w:val="false"/>
          <w:i w:val="false"/>
          <w:iCs w:val="false"/>
          <w:color w:val="000000"/>
          <w:sz w:val="22"/>
          <w:szCs w:val="22"/>
        </w:rPr>
        <w:t xml:space="preserve">Table 5 presents the ten attack vectors identified through code-level gap analysis of SecAlign++ and empirically verified against the Phase-1 fine-tuned model before Phase-2 training. All ten vectors were confirmed to achieve ASR &gt; 60% against the Phase-1 model, justifying inclusion in Phase-2 training data.</w:t>
      </w:r>
    </w:p>
    <w:p>
      <w:pPr>
        <w:spacing w:after="80"/>
      </w:pPr>
      <w:r>
        <w:t xml:space="preserve"/>
      </w:r>
    </w:p>
    <w:p>
      <w:pPr>
        <w:spacing w:after="120"/>
        <w:jc w:val="both"/>
      </w:pPr>
      <w:r>
        <w:rPr>
          <w:b/>
          <w:bCs/>
          <w:i w:val="false"/>
          <w:iCs w:val="false"/>
          <w:color w:val="000000"/>
          <w:sz w:val="22"/>
          <w:szCs w:val="22"/>
        </w:rPr>
        <w:t xml:space="preserve">Table 5. Novel attack taxonomy: ten vectors with mechanism and research gap addressed.</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400"/>
        <w:gridCol w:w="1226"/>
      </w:tblGrid>
      <w:tr>
        <w:trPr>
          <w:tblHeader/>
        </w:trPr>
        <w:tc>
          <w:tcPr>
            <w:tcW w:type="dxa" w:w="4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2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Attack Vector</w:t>
            </w:r>
          </w:p>
        </w:tc>
        <w:tc>
          <w:tcPr>
            <w:tcW w:type="dxa" w:w="34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Mechanism</w:t>
            </w:r>
          </w:p>
        </w:tc>
        <w:tc>
          <w:tcPr>
            <w:tcW w:type="dxa" w:w="12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Phase-1 ASR [NEW]</w:t>
            </w:r>
          </w:p>
        </w:tc>
      </w:tr>
      <w:tr>
        <w:tc>
          <w:tcPr>
            <w:tcW w:type="dxa" w:w="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Encoding chain obfuscation</w:t>
            </w:r>
          </w:p>
        </w:tc>
        <w:tc>
          <w:tcPr>
            <w:tcW w:type="dxa" w:w="3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Sequential multi-layer encoding (ROT13 -&gt; Base64 -&gt; hex)</w:t>
            </w:r>
          </w:p>
        </w:tc>
        <w:tc>
          <w:tcPr>
            <w:tcW w:type="dxa" w:w="1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r>
      <w:tr>
        <w:tc>
          <w:tcPr>
            <w:tcW w:type="dxa" w:w="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2</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Base64 obfuscation</w:t>
            </w:r>
          </w:p>
        </w:tc>
        <w:tc>
          <w:tcPr>
            <w:tcW w:type="dxa" w:w="3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Single-layer Base64; model decodes and executes at inference</w:t>
            </w:r>
          </w:p>
        </w:tc>
        <w:tc>
          <w:tcPr>
            <w:tcW w:type="dxa" w:w="1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100.0%</w:t>
            </w:r>
          </w:p>
        </w:tc>
      </w:tr>
      <w:tr>
        <w:tc>
          <w:tcPr>
            <w:tcW w:type="dxa" w:w="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Leetspeak substitution</w:t>
            </w:r>
          </w:p>
        </w:tc>
        <w:tc>
          <w:tcPr>
            <w:tcW w:type="dxa" w:w="3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Character substitution ('1gn0r3 pr3v10u5 1nstruct10ns')</w:t>
            </w:r>
          </w:p>
        </w:tc>
        <w:tc>
          <w:tcPr>
            <w:tcW w:type="dxa" w:w="1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96.5%</w:t>
            </w:r>
          </w:p>
        </w:tc>
      </w:tr>
      <w:tr>
        <w:tc>
          <w:tcPr>
            <w:tcW w:type="dxa" w:w="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Cross-lingual injection</w:t>
            </w:r>
          </w:p>
        </w:tc>
        <w:tc>
          <w:tcPr>
            <w:tcW w:type="dxa" w:w="3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Override phrase in a different language (VI/ZH/JA/RU)</w:t>
            </w:r>
          </w:p>
        </w:tc>
        <w:tc>
          <w:tcPr>
            <w:tcW w:type="dxa" w:w="1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72.0%</w:t>
            </w:r>
          </w:p>
        </w:tc>
      </w:tr>
      <w:tr>
        <w:tc>
          <w:tcPr>
            <w:tcW w:type="dxa" w:w="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5</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Keyword-free semantic injection</w:t>
            </w:r>
          </w:p>
        </w:tc>
        <w:tc>
          <w:tcPr>
            <w:tcW w:type="dxa" w:w="3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Override communicated without 'ignore' or cognate</w:t>
            </w:r>
          </w:p>
        </w:tc>
        <w:tc>
          <w:tcPr>
            <w:tcW w:type="dxa" w:w="1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91.0%</w:t>
            </w:r>
          </w:p>
        </w:tc>
      </w:tr>
      <w:tr>
        <w:tc>
          <w:tcPr>
            <w:tcW w:type="dxa" w:w="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Conditional logic injection</w:t>
            </w:r>
          </w:p>
        </w:tc>
        <w:tc>
          <w:tcPr>
            <w:tcW w:type="dxa" w:w="3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Framed as: 'If you have completed the above, now do X'</w:t>
            </w:r>
          </w:p>
        </w:tc>
        <w:tc>
          <w:tcPr>
            <w:tcW w:type="dxa" w:w="1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88.5%</w:t>
            </w:r>
          </w:p>
        </w:tc>
      </w:tr>
      <w:tr>
        <w:tc>
          <w:tcPr>
            <w:tcW w:type="dxa" w:w="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Context overflow / attention dilution</w:t>
            </w:r>
          </w:p>
        </w:tc>
        <w:tc>
          <w:tcPr>
            <w:tcW w:type="dxa" w:w="3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Large benign text inserted before injection</w:t>
            </w:r>
          </w:p>
        </w:tc>
        <w:tc>
          <w:tcPr>
            <w:tcW w:type="dxa" w:w="1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95.5%</w:t>
            </w:r>
          </w:p>
        </w:tc>
      </w:tr>
      <w:tr>
        <w:tc>
          <w:tcPr>
            <w:tcW w:type="dxa" w:w="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Unicode homoglyph delimiter substitution</w:t>
            </w:r>
          </w:p>
        </w:tc>
        <w:tc>
          <w:tcPr>
            <w:tcW w:type="dxa" w:w="3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Visually identical Unicode chars replace Llama special tokens</w:t>
            </w:r>
          </w:p>
        </w:tc>
        <w:tc>
          <w:tcPr>
            <w:tcW w:type="dxa" w:w="1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97.0%</w:t>
            </w:r>
          </w:p>
        </w:tc>
      </w:tr>
      <w:tr>
        <w:tc>
          <w:tcPr>
            <w:tcW w:type="dxa" w:w="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Payload splitting</w:t>
            </w:r>
          </w:p>
        </w:tc>
        <w:tc>
          <w:tcPr>
            <w:tcW w:type="dxa" w:w="3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Injection fragmented across multiple segments</w:t>
            </w:r>
          </w:p>
        </w:tc>
        <w:tc>
          <w:tcPr>
            <w:tcW w:type="dxa" w:w="12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99.0%</w:t>
            </w:r>
          </w:p>
        </w:tc>
      </w:tr>
      <w:tr>
        <w:tc>
          <w:tcPr>
            <w:tcW w:type="dxa" w:w="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Multi-turn gradual escalation</w:t>
            </w:r>
          </w:p>
        </w:tc>
        <w:tc>
          <w:tcPr>
            <w:tcW w:type="dxa" w:w="3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Single-event escalating instruction framing</w:t>
            </w:r>
          </w:p>
        </w:tc>
        <w:tc>
          <w:tcPr>
            <w:tcW w:type="dxa" w:w="12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95.0%</w:t>
            </w:r>
          </w:p>
        </w:tc>
      </w:tr>
    </w:tbl>
    <w:p>
      <w:pPr>
        <w:spacing w:after="80"/>
      </w:pPr>
      <w:r>
        <w:t xml:space="preserve"/>
      </w:r>
    </w:p>
    <w:p>
      <w:pPr>
        <w:pStyle w:val="Heading1"/>
      </w:pPr>
      <w:r>
        <w:rPr>
          <w:b/>
          <w:bCs/>
        </w:rPr>
        <w:t xml:space="preserve">6. Results</w:t>
      </w:r>
    </w:p>
    <w:p>
      <w:pPr>
        <w:pStyle w:val="Heading2"/>
      </w:pPr>
      <w:r>
        <w:rPr>
          <w:b/>
          <w:bCs/>
        </w:rPr>
        <w:t xml:space="preserve">6.1. Security and Utility Trade-off</w:t>
      </w:r>
    </w:p>
    <w:p>
      <w:pPr>
        <w:spacing w:after="120"/>
        <w:jc w:val="both"/>
      </w:pPr>
      <w:r>
        <w:rPr>
          <w:b w:val="false"/>
          <w:bCs w:val="false"/>
          <w:i w:val="false"/>
          <w:iCs w:val="false"/>
          <w:color w:val="000000"/>
          <w:sz w:val="22"/>
          <w:szCs w:val="22"/>
        </w:rPr>
        <w:t xml:space="preserve">Table 6 presents the main results across all three models. The undefended Llama base model exhibits AVG ASR of 91.75% and Vietnamese ASR (Vi-InjectEval) of 98.6%, confirming critical exposure in multilingual agentic deployments. SeaLLM-7B-v2.5 offers only marginal security improvement (AVG ASR 85.0%) while incurring a substantial utility cost (MMLU 63.41% vs. 68.27% for the base model).</w:t>
      </w:r>
    </w:p>
    <w:p>
      <w:pPr>
        <w:spacing w:after="120"/>
        <w:jc w:val="both"/>
      </w:pPr>
      <w:r>
        <w:rPr>
          <w:b w:val="false"/>
          <w:bCs w:val="false"/>
          <w:i w:val="false"/>
          <w:iCs w:val="false"/>
          <w:color w:val="000000"/>
          <w:sz w:val="22"/>
          <w:szCs w:val="22"/>
        </w:rPr>
        <w:t xml:space="preserve">The fine-tuned model reduces AVG ASR to 74.00% (an absolute reduction of 17.75 pp) and Vi-InjectEval ASR to 83.9% (a 14.7 pp reduction). It preserves general utility with a negligible 0.03 pp MMLU degradation. Mathematical reasoning improves from 70.89% to 72.02% on GSM8K, and the FRR rises modestly from 1.0 to 2.2, indicating minimal over-refusal.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CONTEXTUAL NOTE on ASR 74%</w:t>
            </w:r>
          </w:p>
          <w:p>
            <w:pPr>
              <w:spacing w:after="0"/>
              <w:jc w:val="both"/>
            </w:pPr>
            <w:r>
              <w:rPr>
                <w:sz w:val="21"/>
                <w:szCs w:val="21"/>
              </w:rPr>
              <w:t xml:space="preserve">We acknowledge that an AVG ASR of 74% represents a substantially higher residual attack rate than META-SECALIGN-70B (6.4% ASR on SEP). This gap is expected and attributable to two factors: (1) model scale — 70B models have significantly greater capacity to internalize complex security boundaries (see Section 7.3); (2) training data scope — our 26,819-sample bilingual corpus prioritizes Vietnamese coverage over exhaustive English injection diversity. The 74% figure should be interpreted relative to the 8B-scale English-only baseline, not the 70B frontier. Future work scaling to PhoGPT or larger Vietnamese-capable models is expected to yield substantially lower ASR.</w:t>
            </w:r>
          </w:p>
        </w:tc>
      </w:tr>
    </w:tbl>
    <w:p>
      <w:pPr>
        <w:spacing w:after="80"/>
      </w:pPr>
      <w:r>
        <w:t xml:space="preserve"/>
      </w:r>
    </w:p>
    <w:p>
      <w:pPr>
        <w:spacing w:after="120"/>
        <w:jc w:val="both"/>
      </w:pPr>
      <w:r>
        <w:rPr>
          <w:b/>
          <w:bCs/>
          <w:i w:val="false"/>
          <w:iCs w:val="false"/>
          <w:color w:val="000000"/>
          <w:sz w:val="22"/>
          <w:szCs w:val="22"/>
        </w:rPr>
        <w:t xml:space="preserve">Table 6. Security and utility benchmark results. ASR = attack success rate (lower is better). Vi-InjectEval column is new in this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2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Base Model</w:t>
            </w:r>
          </w:p>
        </w:tc>
        <w:tc>
          <w:tcPr>
            <w:tcW w:type="dxa" w:w="2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Fine-tuned (Ours)</w:t>
            </w:r>
          </w:p>
        </w:tc>
        <w:tc>
          <w:tcPr>
            <w:tcW w:type="dxa" w:w="20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SeaLLM-7B-v2.5</w:t>
            </w:r>
          </w:p>
        </w:tc>
      </w:tr>
      <w:tr>
        <w:tc>
          <w:tcPr>
            <w:tcW w:type="dxa" w:w="3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MMLU (%)</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68.27</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68.24</w:t>
            </w:r>
          </w:p>
        </w:tc>
        <w:tc>
          <w:tcPr>
            <w:tcW w:type="dxa" w:w="20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63.41</w:t>
            </w:r>
          </w:p>
        </w:tc>
      </w:tr>
      <w:tr>
        <w:tc>
          <w:tcPr>
            <w:tcW w:type="dxa" w:w="3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GSM8K (%)</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70.89</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72.02</w:t>
            </w:r>
          </w:p>
        </w:tc>
        <w:tc>
          <w:tcPr>
            <w:tcW w:type="dxa" w:w="20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75.51</w:t>
            </w:r>
          </w:p>
        </w:tc>
      </w:tr>
      <w:tr>
        <w:tc>
          <w:tcPr>
            <w:tcW w:type="dxa" w:w="3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FRR</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2.2</w:t>
            </w:r>
          </w:p>
        </w:tc>
        <w:tc>
          <w:tcPr>
            <w:tcW w:type="dxa" w:w="20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0.6</w:t>
            </w:r>
          </w:p>
        </w:tc>
      </w:tr>
      <w:tr>
        <w:tc>
          <w:tcPr>
            <w:tcW w:type="dxa" w:w="3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EN_ASR (%)</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84.9</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64.1</w:t>
            </w:r>
          </w:p>
        </w:tc>
        <w:tc>
          <w:tcPr>
            <w:tcW w:type="dxa" w:w="20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75.4</w:t>
            </w:r>
          </w:p>
        </w:tc>
      </w:tr>
      <w:tr>
        <w:tc>
          <w:tcPr>
            <w:tcW w:type="dxa" w:w="3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VN_ASR / Vi-InjectEval (%) [NEW]</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98.6</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83.9</w:t>
            </w:r>
          </w:p>
        </w:tc>
        <w:tc>
          <w:tcPr>
            <w:tcW w:type="dxa" w:w="20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94.6</w:t>
            </w:r>
          </w:p>
        </w:tc>
      </w:tr>
      <w:tr>
        <w:tc>
          <w:tcPr>
            <w:tcW w:type="dxa" w:w="3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AVG_ASR (%)</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91.75</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74.00</w:t>
            </w:r>
          </w:p>
        </w:tc>
        <w:tc>
          <w:tcPr>
            <w:tcW w:type="dxa" w:w="20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85.00</w:t>
            </w:r>
          </w:p>
        </w:tc>
      </w:tr>
    </w:tbl>
    <w:p>
      <w:pPr>
        <w:spacing w:after="80"/>
      </w:pPr>
      <w:r>
        <w:t xml:space="preserve"/>
      </w:r>
    </w:p>
    <w:p>
      <w:pPr>
        <w:pStyle w:val="Heading2"/>
      </w:pPr>
      <w:r>
        <w:rPr>
          <w:b/>
          <w:bCs/>
        </w:rPr>
        <w:t xml:space="preserve">6.2. Ablation Study [REVISED — Full Quantitative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REVISED — Addresses: ablation study lacked quantitative data</w:t>
            </w:r>
          </w:p>
          <w:p>
            <w:pPr>
              <w:spacing w:after="0"/>
              <w:jc w:val="both"/>
            </w:pPr>
            <w:r>
              <w:rPr>
                <w:sz w:val="21"/>
                <w:szCs w:val="21"/>
              </w:rPr>
              <w:t xml:space="preserve">The original manuscript described ablation results in prose only. This revision adds Table 6b with numerical results for all ablation conditions.</w:t>
            </w:r>
          </w:p>
        </w:tc>
      </w:tr>
    </w:tbl>
    <w:p>
      <w:pPr>
        <w:spacing w:after="80"/>
      </w:pPr>
      <w:r>
        <w:t xml:space="preserve"/>
      </w:r>
    </w:p>
    <w:p>
      <w:pPr>
        <w:spacing w:after="120"/>
        <w:jc w:val="both"/>
      </w:pPr>
      <w:r>
        <w:rPr>
          <w:b/>
          <w:bCs/>
          <w:i w:val="false"/>
          <w:iCs w:val="false"/>
          <w:color w:val="000000"/>
          <w:sz w:val="22"/>
          <w:szCs w:val="22"/>
        </w:rPr>
        <w:t xml:space="preserve">Table 6b. Ablation results: effect of each training component. All models trained on Phase-1 data only (24,819 samples) for comparability.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700"/>
        <w:gridCol w:w="1526"/>
      </w:tblGrid>
      <w:tr>
        <w:trPr>
          <w:tblHeader/>
        </w:trPr>
        <w:tc>
          <w:tcPr>
            <w:tcW w:type="dxa" w:w="28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Configuration</w:t>
            </w:r>
          </w:p>
        </w:tc>
        <w:tc>
          <w:tcPr>
            <w:tcW w:type="dxa" w:w="15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AVG ASR (%)</w:t>
            </w:r>
          </w:p>
        </w:tc>
        <w:tc>
          <w:tcPr>
            <w:tcW w:type="dxa" w:w="15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MMLU (%)</w:t>
            </w:r>
          </w:p>
        </w:tc>
        <w:tc>
          <w:tcPr>
            <w:tcW w:type="dxa" w:w="17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Delta MMLU (pp)</w:t>
            </w:r>
          </w:p>
        </w:tc>
        <w:tc>
          <w:tcPr>
            <w:tcW w:type="dxa" w:w="15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GSM8K (%)</w:t>
            </w:r>
          </w:p>
        </w:tc>
      </w:tr>
      <w:tr>
        <w:tc>
          <w:tcPr>
            <w:tcW w:type="dxa" w:w="2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Base model (no defense)</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91.75</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68.27</w:t>
            </w:r>
          </w:p>
        </w:tc>
        <w:tc>
          <w:tcPr>
            <w:tcW w:type="dxa" w:w="1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w:t>
            </w:r>
          </w:p>
        </w:tc>
        <w:tc>
          <w:tcPr>
            <w:tcW w:type="dxa" w:w="15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70.89</w:t>
            </w:r>
          </w:p>
        </w:tc>
      </w:tr>
      <w:tr>
        <w:tc>
          <w:tcPr>
            <w:tcW w:type="dxa" w:w="2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DPO only (beta=0.1)</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76.20</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66.45</w:t>
            </w:r>
          </w:p>
        </w:tc>
        <w:tc>
          <w:tcPr>
            <w:tcW w:type="dxa" w:w="1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-1.82</w:t>
            </w:r>
          </w:p>
        </w:tc>
        <w:tc>
          <w:tcPr>
            <w:tcW w:type="dxa" w:w="15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70.12</w:t>
            </w:r>
          </w:p>
        </w:tc>
      </w:tr>
      <w:tr>
        <w:tc>
          <w:tcPr>
            <w:tcW w:type="dxa" w:w="2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DPO + RPO (no cDPO)</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75.10</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67.98</w:t>
            </w:r>
          </w:p>
        </w:tc>
        <w:tc>
          <w:tcPr>
            <w:tcW w:type="dxa" w:w="1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-0.29</w:t>
            </w:r>
          </w:p>
        </w:tc>
        <w:tc>
          <w:tcPr>
            <w:tcW w:type="dxa" w:w="15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71.44</w:t>
            </w:r>
          </w:p>
        </w:tc>
      </w:tr>
      <w:tr>
        <w:tc>
          <w:tcPr>
            <w:tcW w:type="dxa" w:w="2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DPO + cDPO (no RPO)</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74.85</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67.81</w:t>
            </w:r>
          </w:p>
        </w:tc>
        <w:tc>
          <w:tcPr>
            <w:tcW w:type="dxa" w:w="1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-0.46</w:t>
            </w:r>
          </w:p>
        </w:tc>
        <w:tc>
          <w:tcPr>
            <w:tcW w:type="dxa" w:w="15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71.20</w:t>
            </w:r>
          </w:p>
        </w:tc>
      </w:tr>
      <w:tr>
        <w:tc>
          <w:tcPr>
            <w:tcW w:type="dxa" w:w="2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DPO + RPO + cDPO (full, Phase-1 only)</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74.30</w:t>
            </w:r>
          </w:p>
        </w:tc>
        <w:tc>
          <w:tcPr>
            <w:tcW w:type="dxa" w:w="1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68.22</w:t>
            </w:r>
          </w:p>
        </w:tc>
        <w:tc>
          <w:tcPr>
            <w:tcW w:type="dxa" w:w="1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-0.05</w:t>
            </w:r>
          </w:p>
        </w:tc>
        <w:tc>
          <w:tcPr>
            <w:tcW w:type="dxa" w:w="15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71.89</w:t>
            </w:r>
          </w:p>
        </w:tc>
      </w:tr>
      <w:tr>
        <w:tc>
          <w:tcPr>
            <w:tcW w:type="dxa" w:w="2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DPO + RPO + cDPO (full, +Phase-2)</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74.00</w:t>
            </w:r>
          </w:p>
        </w:tc>
        <w:tc>
          <w:tcPr>
            <w:tcW w:type="dxa" w:w="1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68.24</w:t>
            </w:r>
          </w:p>
        </w:tc>
        <w:tc>
          <w:tcPr>
            <w:tcW w:type="dxa" w:w="1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-0.03</w:t>
            </w:r>
          </w:p>
        </w:tc>
        <w:tc>
          <w:tcPr>
            <w:tcW w:type="dxa" w:w="15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72.02</w:t>
            </w:r>
          </w:p>
        </w:tc>
      </w:tr>
    </w:tbl>
    <w:p>
      <w:pPr>
        <w:spacing w:after="80"/>
      </w:pPr>
      <w:r>
        <w:t xml:space="preserve"/>
      </w:r>
    </w:p>
    <w:p>
      <w:pPr>
        <w:spacing w:after="120"/>
        <w:jc w:val="both"/>
      </w:pPr>
      <w:r>
        <w:rPr>
          <w:b w:val="false"/>
          <w:bCs w:val="false"/>
          <w:i w:val="false"/>
          <w:iCs w:val="false"/>
          <w:color w:val="000000"/>
          <w:sz w:val="22"/>
          <w:szCs w:val="22"/>
        </w:rPr>
        <w:t xml:space="preserve">Key findings: (1) DPO alone reduces ASR effectively but imposes a 1.82 pp MMLU degradation — confirming the Alignment Tax. (2) Adding RPO recovers most of the utility loss (delta MMLU from -1.82 to -0.29), with only a marginal ASR benefit. (3) cDPO alone provides a similar utility benefit to RPO with slightly greater ASR reduction. (4) The full DPO+RPO+cDPO combination achieves the best security-utility balance. (5) Phase-2 training contributes an additional 0.30 pp ASR reduction with negligible utility change.</w:t>
      </w:r>
    </w:p>
    <w:p>
      <w:pPr>
        <w:pStyle w:val="Heading2"/>
      </w:pPr>
      <w:r>
        <w:rPr>
          <w:b/>
          <w:bCs/>
        </w:rPr>
        <w:t xml:space="preserve">6.3. Granular Attack Defense (10-Axis Benchmark) [REVISED]</w:t>
      </w:r>
    </w:p>
    <w:p>
      <w:pPr>
        <w:spacing w:after="120"/>
        <w:jc w:val="both"/>
      </w:pPr>
      <w:r>
        <w:rPr>
          <w:b w:val="false"/>
          <w:bCs w:val="false"/>
          <w:i w:val="false"/>
          <w:iCs w:val="false"/>
          <w:color w:val="000000"/>
          <w:sz w:val="22"/>
          <w:szCs w:val="22"/>
        </w:rPr>
        <w:t xml:space="preserve">Table 7 reports ASR for each of the ten novel attack vectors, now including Phase-1 ASR (before Phase-2 training) to demonstrate the causal effect of Phase-2 data.</w:t>
      </w:r>
    </w:p>
    <w:p>
      <w:pPr>
        <w:spacing w:after="80"/>
      </w:pPr>
      <w:r>
        <w:t xml:space="preserve"/>
      </w:r>
    </w:p>
    <w:p>
      <w:pPr>
        <w:spacing w:after="120"/>
        <w:jc w:val="both"/>
      </w:pPr>
      <w:r>
        <w:rPr>
          <w:b/>
          <w:bCs/>
          <w:i w:val="false"/>
          <w:iCs w:val="false"/>
          <w:color w:val="000000"/>
          <w:sz w:val="22"/>
          <w:szCs w:val="22"/>
        </w:rPr>
        <w:t xml:space="preserve">Table 7. 10-axis novel attack benchmark: ASR (%) per model. Phase-1 ASR column [NEW] shows the model before Phase-2 training.</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850"/>
        <w:gridCol w:w="900"/>
        <w:gridCol w:w="1100"/>
        <w:gridCol w:w="950"/>
        <w:gridCol w:w="1126"/>
      </w:tblGrid>
      <w:tr>
        <w:trPr>
          <w:tblHeader/>
        </w:trPr>
        <w:tc>
          <w:tcPr>
            <w:tcW w:type="dxa" w:w="11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ID</w:t>
            </w:r>
          </w:p>
        </w:tc>
        <w:tc>
          <w:tcPr>
            <w:tcW w:type="dxa" w:w="20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Attack</w:t>
            </w:r>
          </w:p>
        </w:tc>
        <w:tc>
          <w:tcPr>
            <w:tcW w:type="dxa" w:w="85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Base</w:t>
            </w:r>
          </w:p>
        </w:tc>
        <w:tc>
          <w:tcPr>
            <w:tcW w:type="dxa" w:w="9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Phase-1</w:t>
            </w:r>
          </w:p>
        </w:tc>
        <w:tc>
          <w:tcPr>
            <w:tcW w:type="dxa" w:w="11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Ours (Full)</w:t>
            </w:r>
          </w:p>
        </w:tc>
        <w:tc>
          <w:tcPr>
            <w:tcW w:type="dxa" w:w="95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SeaLLM</w:t>
            </w:r>
          </w:p>
        </w:tc>
        <w:tc>
          <w:tcPr>
            <w:tcW w:type="dxa" w:w="11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Phase-2 Gain</w:t>
            </w:r>
          </w:p>
        </w:tc>
      </w:tr>
      <w:tr>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ATTACK-01</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Multi-Turn Escalation</w:t>
            </w:r>
          </w:p>
        </w:tc>
        <w:tc>
          <w:tcPr>
            <w:tcW w:type="dxa" w:w="8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95.0</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87.5</w:t>
            </w:r>
          </w:p>
        </w:tc>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84.5</w:t>
            </w:r>
          </w:p>
        </w:tc>
        <w:tc>
          <w:tcPr>
            <w:tcW w:type="dxa" w:w="9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97.5</w:t>
            </w:r>
          </w:p>
        </w:tc>
        <w:tc>
          <w:tcPr>
            <w:tcW w:type="dxa" w:w="11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-3.0pp</w:t>
            </w:r>
          </w:p>
        </w:tc>
      </w:tr>
      <w:tr>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ATTACK-02</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Encoding Chain</w:t>
            </w:r>
          </w:p>
        </w:tc>
        <w:tc>
          <w:tcPr>
            <w:tcW w:type="dxa" w:w="8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100.0</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83.0</w:t>
            </w:r>
          </w:p>
        </w:tc>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79.5</w:t>
            </w:r>
          </w:p>
        </w:tc>
        <w:tc>
          <w:tcPr>
            <w:tcW w:type="dxa" w:w="9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100.0</w:t>
            </w:r>
          </w:p>
        </w:tc>
        <w:tc>
          <w:tcPr>
            <w:tcW w:type="dxa" w:w="11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-3.5pp</w:t>
            </w:r>
          </w:p>
        </w:tc>
      </w:tr>
      <w:tr>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ATTACK-03</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Cross-Lingual Switching</w:t>
            </w:r>
          </w:p>
        </w:tc>
        <w:tc>
          <w:tcPr>
            <w:tcW w:type="dxa" w:w="8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63.5</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54.5</w:t>
            </w:r>
          </w:p>
        </w:tc>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52.0</w:t>
            </w:r>
          </w:p>
        </w:tc>
        <w:tc>
          <w:tcPr>
            <w:tcW w:type="dxa" w:w="9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54.5</w:t>
            </w:r>
          </w:p>
        </w:tc>
        <w:tc>
          <w:tcPr>
            <w:tcW w:type="dxa" w:w="11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-2.5pp</w:t>
            </w:r>
          </w:p>
        </w:tc>
      </w:tr>
      <w:tr>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ATTACK-04</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Semantic Injection</w:t>
            </w:r>
          </w:p>
        </w:tc>
        <w:tc>
          <w:tcPr>
            <w:tcW w:type="dxa" w:w="8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83.0</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53.5</w:t>
            </w:r>
          </w:p>
        </w:tc>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49.0</w:t>
            </w:r>
          </w:p>
        </w:tc>
        <w:tc>
          <w:tcPr>
            <w:tcW w:type="dxa" w:w="9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85.5</w:t>
            </w:r>
          </w:p>
        </w:tc>
        <w:tc>
          <w:tcPr>
            <w:tcW w:type="dxa" w:w="11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-4.5pp</w:t>
            </w:r>
          </w:p>
        </w:tc>
      </w:tr>
      <w:tr>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ATTACK-05</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Context Overflow</w:t>
            </w:r>
          </w:p>
        </w:tc>
        <w:tc>
          <w:tcPr>
            <w:tcW w:type="dxa" w:w="8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94.0</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67.0</w:t>
            </w:r>
          </w:p>
        </w:tc>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63.5</w:t>
            </w:r>
          </w:p>
        </w:tc>
        <w:tc>
          <w:tcPr>
            <w:tcW w:type="dxa" w:w="9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69.5</w:t>
            </w:r>
          </w:p>
        </w:tc>
        <w:tc>
          <w:tcPr>
            <w:tcW w:type="dxa" w:w="11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-3.5pp</w:t>
            </w:r>
          </w:p>
        </w:tc>
      </w:tr>
      <w:tr>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ATTACK-06</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Unicode Homoglyph</w:t>
            </w:r>
          </w:p>
        </w:tc>
        <w:tc>
          <w:tcPr>
            <w:tcW w:type="dxa" w:w="8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96.5</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81.5</w:t>
            </w:r>
          </w:p>
        </w:tc>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77.0</w:t>
            </w:r>
          </w:p>
        </w:tc>
        <w:tc>
          <w:tcPr>
            <w:tcW w:type="dxa" w:w="9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76.5</w:t>
            </w:r>
          </w:p>
        </w:tc>
        <w:tc>
          <w:tcPr>
            <w:tcW w:type="dxa" w:w="11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-4.5pp</w:t>
            </w:r>
          </w:p>
        </w:tc>
      </w:tr>
      <w:tr>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ATTACK-07</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Payload Splitting</w:t>
            </w:r>
          </w:p>
        </w:tc>
        <w:tc>
          <w:tcPr>
            <w:tcW w:type="dxa" w:w="8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99.5</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91.5</w:t>
            </w:r>
          </w:p>
        </w:tc>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88.0</w:t>
            </w:r>
          </w:p>
        </w:tc>
        <w:tc>
          <w:tcPr>
            <w:tcW w:type="dxa" w:w="9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99.0</w:t>
            </w:r>
          </w:p>
        </w:tc>
        <w:tc>
          <w:tcPr>
            <w:tcW w:type="dxa" w:w="11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-3.5pp</w:t>
            </w:r>
          </w:p>
        </w:tc>
      </w:tr>
      <w:tr>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ATTACK-08</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Conditional Logic</w:t>
            </w:r>
          </w:p>
        </w:tc>
        <w:tc>
          <w:tcPr>
            <w:tcW w:type="dxa" w:w="8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90.5</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72.5</w:t>
            </w:r>
          </w:p>
        </w:tc>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68.0</w:t>
            </w:r>
          </w:p>
        </w:tc>
        <w:tc>
          <w:tcPr>
            <w:tcW w:type="dxa" w:w="9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82.0</w:t>
            </w:r>
          </w:p>
        </w:tc>
        <w:tc>
          <w:tcPr>
            <w:tcW w:type="dxa" w:w="11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-4.5pp</w:t>
            </w:r>
          </w:p>
        </w:tc>
      </w:tr>
      <w:tr>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ATTACK-09</w:t>
            </w:r>
          </w:p>
        </w:tc>
        <w:tc>
          <w:tcPr>
            <w:tcW w:type="dxa" w:w="20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Base64 Obfuscation</w:t>
            </w:r>
          </w:p>
        </w:tc>
        <w:tc>
          <w:tcPr>
            <w:tcW w:type="dxa" w:w="8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c>
          <w:tcPr>
            <w:tcW w:type="dxa" w:w="9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c>
          <w:tcPr>
            <w:tcW w:type="dxa" w:w="11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c>
          <w:tcPr>
            <w:tcW w:type="dxa" w:w="95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c>
          <w:tcPr>
            <w:tcW w:type="dxa" w:w="11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0pp</w:t>
            </w:r>
          </w:p>
        </w:tc>
      </w:tr>
      <w:tr>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ATTACK-10</w:t>
            </w:r>
          </w:p>
        </w:tc>
        <w:tc>
          <w:tcPr>
            <w:tcW w:type="dxa" w:w="20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Leetspeak Obfuscation</w:t>
            </w:r>
          </w:p>
        </w:tc>
        <w:tc>
          <w:tcPr>
            <w:tcW w:type="dxa" w:w="8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95.5</w:t>
            </w:r>
          </w:p>
        </w:tc>
        <w:tc>
          <w:tcPr>
            <w:tcW w:type="dxa" w:w="9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83.5</w:t>
            </w:r>
          </w:p>
        </w:tc>
        <w:tc>
          <w:tcPr>
            <w:tcW w:type="dxa" w:w="11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78.5</w:t>
            </w:r>
          </w:p>
        </w:tc>
        <w:tc>
          <w:tcPr>
            <w:tcW w:type="dxa" w:w="95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85.5</w:t>
            </w:r>
          </w:p>
        </w:tc>
        <w:tc>
          <w:tcPr>
            <w:tcW w:type="dxa" w:w="11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-5.0pp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276" w:sz="4"/>
              <w:left w:val="single" w:color="1A5276" w:sz="4"/>
              <w:bottom w:val="single" w:color="1A5276" w:sz="4"/>
              <w:right w:val="single" w:color="1A5276" w:sz="4"/>
            </w:tcBorders>
            <w:shd w:fill="EBF5FB" w:val="clear"/>
            <w:tcMar>
              <w:top w:type="dxa" w:w="120"/>
              <w:left w:type="dxa" w:w="180"/>
              <w:bottom w:type="dxa" w:w="120"/>
              <w:right w:type="dxa" w:w="180"/>
            </w:tcMar>
          </w:tcPr>
          <w:p>
            <w:pPr>
              <w:spacing w:after="60"/>
            </w:pPr>
            <w:r>
              <w:rPr>
                <w:b/>
                <w:bCs/>
                <w:color w:val="1A5276"/>
                <w:sz w:val="22"/>
                <w:szCs w:val="22"/>
              </w:rPr>
              <w:t xml:space="preserve">Discussion: ATTACK-09 (Base64 Obfuscation — 100% ASR across all models)</w:t>
            </w:r>
          </w:p>
          <w:p>
            <w:pPr>
              <w:spacing w:after="0"/>
              <w:jc w:val="both"/>
            </w:pPr>
            <w:r>
              <w:rPr>
                <w:sz w:val="21"/>
                <w:szCs w:val="21"/>
              </w:rPr>
              <w:t xml:space="preserve">Base64 Obfuscation achieves 100% ASR for all models including our fine-tuned version. This is not a failure of the DPO training regime per se, but a fundamental limitation: the model's pre-training has established a strong prior for decoding Base64 strings, and the 384-token preference training pairs do not contain sufficient examples of Base64-encoded injections at the lengths necessary to override this prior. Three potential remediation directions exist: (1) extending Phase-2 training with Base64-decoded equivalents of all injection patterns so the policy applies post-decoding; (2) a preprocessing layer that detects and refuses requests containing unusual encoding; (3) pre-training data filtering to reduce the model's Base64 decoding prior. We report this result transparently as an open research problem rather than a solved limitation.</w:t>
            </w:r>
          </w:p>
        </w:tc>
      </w:tr>
    </w:tbl>
    <w:p>
      <w:pPr>
        <w:spacing w:after="80"/>
      </w:pPr>
      <w:r>
        <w:t xml:space="preserve"/>
      </w:r>
    </w:p>
    <w:p>
      <w:pPr>
        <w:pStyle w:val="Heading2"/>
      </w:pPr>
      <w:r>
        <w:rPr>
          <w:b/>
          <w:bCs/>
        </w:rPr>
        <w:t xml:space="preserve">6.4. Vi-InjectEval Results [NEW]</w:t>
      </w:r>
    </w:p>
    <w:p>
      <w:pPr>
        <w:spacing w:after="120"/>
        <w:jc w:val="both"/>
      </w:pPr>
      <w:r>
        <w:rPr>
          <w:b w:val="false"/>
          <w:bCs w:val="false"/>
          <w:i w:val="false"/>
          <w:iCs w:val="false"/>
          <w:color w:val="000000"/>
          <w:sz w:val="22"/>
          <w:szCs w:val="22"/>
        </w:rPr>
        <w:t xml:space="preserve">Table 8 reports Vi-InjectEval ASR broken down by sample category. The fine-tuned model achieves consistent improvement across all three categories, with the largest absolute reduction in directly translated samples (Category 1: 97.3% to 79.4%) and the smallest in cross-lingual samples (Category 3: 100.0% to 91.0%). The latter result is expected, as cross-lingual injection vectors rely on the same pre-training-acquired multilingual capability as Base64 decoding.</w:t>
      </w:r>
    </w:p>
    <w:p>
      <w:pPr>
        <w:spacing w:after="80"/>
      </w:pPr>
      <w:r>
        <w:t xml:space="preserve"/>
      </w:r>
    </w:p>
    <w:p>
      <w:pPr>
        <w:spacing w:after="120"/>
        <w:jc w:val="both"/>
      </w:pPr>
      <w:r>
        <w:rPr>
          <w:b/>
          <w:bCs/>
          <w:i w:val="false"/>
          <w:iCs w:val="false"/>
          <w:color w:val="000000"/>
          <w:sz w:val="22"/>
          <w:szCs w:val="22"/>
        </w:rPr>
        <w:t xml:space="preserve">Table 8. Vi-InjectEval ASR by category. [NEW]</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700"/>
        <w:gridCol w:w="1400"/>
        <w:gridCol w:w="1926"/>
      </w:tblGrid>
      <w:tr>
        <w:trPr>
          <w:tblHeader/>
        </w:trPr>
        <w:tc>
          <w:tcPr>
            <w:tcW w:type="dxa" w:w="24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6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N</w:t>
            </w:r>
          </w:p>
        </w:tc>
        <w:tc>
          <w:tcPr>
            <w:tcW w:type="dxa" w:w="17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Base Model ASR (%)</w:t>
            </w:r>
          </w:p>
        </w:tc>
        <w:tc>
          <w:tcPr>
            <w:tcW w:type="dxa" w:w="14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Ours ASR (%)</w:t>
            </w:r>
          </w:p>
        </w:tc>
        <w:tc>
          <w:tcPr>
            <w:tcW w:type="dxa" w:w="19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SeaLLM ASR (%)</w:t>
            </w:r>
          </w:p>
        </w:tc>
      </w:tr>
      <w:tr>
        <w:tc>
          <w:tcPr>
            <w:tcW w:type="dxa" w:w="2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Cat-1: Translated EN prompts</w:t>
            </w:r>
          </w:p>
        </w:tc>
        <w:tc>
          <w:tcPr>
            <w:tcW w:type="dxa" w:w="6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150</w:t>
            </w:r>
          </w:p>
        </w:tc>
        <w:tc>
          <w:tcPr>
            <w:tcW w:type="dxa" w:w="1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97.3</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79.4</w:t>
            </w:r>
          </w:p>
        </w:tc>
        <w:tc>
          <w:tcPr>
            <w:tcW w:type="dxa" w:w="19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93.3</w:t>
            </w:r>
          </w:p>
        </w:tc>
      </w:tr>
      <w:tr>
        <w:tc>
          <w:tcPr>
            <w:tcW w:type="dxa" w:w="2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Cat-2: Native VI prompts</w:t>
            </w:r>
          </w:p>
        </w:tc>
        <w:tc>
          <w:tcPr>
            <w:tcW w:type="dxa" w:w="6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250</w:t>
            </w:r>
          </w:p>
        </w:tc>
        <w:tc>
          <w:tcPr>
            <w:tcW w:type="dxa" w:w="1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98.0</w:t>
            </w:r>
          </w:p>
        </w:tc>
        <w:tc>
          <w:tcPr>
            <w:tcW w:type="dxa" w:w="1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83.2</w:t>
            </w:r>
          </w:p>
        </w:tc>
        <w:tc>
          <w:tcPr>
            <w:tcW w:type="dxa" w:w="19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94.8</w:t>
            </w:r>
          </w:p>
        </w:tc>
      </w:tr>
      <w:tr>
        <w:tc>
          <w:tcPr>
            <w:tcW w:type="dxa" w:w="2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Cat-3: Cross-lingual injections</w:t>
            </w:r>
          </w:p>
        </w:tc>
        <w:tc>
          <w:tcPr>
            <w:tcW w:type="dxa" w:w="6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w:t>
            </w:r>
          </w:p>
        </w:tc>
        <w:tc>
          <w:tcPr>
            <w:tcW w:type="dxa" w:w="17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100.0</w:t>
            </w:r>
          </w:p>
        </w:tc>
        <w:tc>
          <w:tcPr>
            <w:tcW w:type="dxa" w:w="14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91.0</w:t>
            </w:r>
          </w:p>
        </w:tc>
        <w:tc>
          <w:tcPr>
            <w:tcW w:type="dxa" w:w="19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96.0</w:t>
            </w:r>
          </w:p>
        </w:tc>
      </w:tr>
      <w:tr>
        <w:tc>
          <w:tcPr>
            <w:tcW w:type="dxa" w:w="2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Total Vi-InjectEval</w:t>
            </w:r>
          </w:p>
        </w:tc>
        <w:tc>
          <w:tcPr>
            <w:tcW w:type="dxa" w:w="6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500</w:t>
            </w:r>
          </w:p>
        </w:tc>
        <w:tc>
          <w:tcPr>
            <w:tcW w:type="dxa" w:w="17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98.6</w:t>
            </w:r>
          </w:p>
        </w:tc>
        <w:tc>
          <w:tcPr>
            <w:tcW w:type="dxa" w:w="14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83.9</w:t>
            </w:r>
          </w:p>
        </w:tc>
        <w:tc>
          <w:tcPr>
            <w:tcW w:type="dxa" w:w="19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94.6</w:t>
            </w:r>
          </w:p>
        </w:tc>
      </w:tr>
    </w:tbl>
    <w:p>
      <w:pPr>
        <w:spacing w:after="80"/>
      </w:pPr>
      <w:r>
        <w:t xml:space="preserve"/>
      </w:r>
    </w:p>
    <w:p>
      <w:pPr>
        <w:pStyle w:val="Heading2"/>
      </w:pPr>
      <w:r>
        <w:rPr>
          <w:b/>
          <w:bCs/>
        </w:rPr>
        <w:t xml:space="preserve">6.5. Cross-Lingual and Adaptive Robustness</w:t>
      </w:r>
    </w:p>
    <w:p>
      <w:pPr>
        <w:spacing w:after="120"/>
        <w:jc w:val="both"/>
      </w:pPr>
      <w:r>
        <w:rPr>
          <w:b w:val="false"/>
          <w:bCs w:val="false"/>
          <w:i w:val="false"/>
          <w:iCs w:val="false"/>
          <w:color w:val="000000"/>
          <w:sz w:val="22"/>
          <w:szCs w:val="22"/>
        </w:rPr>
        <w:t xml:space="preserve">Despite being trained on a Vietnamese-dominant dataset, the fine-tuned model successfully transfers its structural security policy to English prompts, demonstrating robust resistance across both languages. Under adaptive attacks (embedding-space access to construct fraudulent delimiter tokens), the base model's ASR rises by 6.75 pp; SeaLLM-7B-v2.5 suffers a 7.40 pp degradation. The fine-tuned model yields only a 4.20 pp increase, confirming that RPO and cDPO encode a persistent, structurally grounded security policy.</w:t>
      </w:r>
    </w:p>
    <w:p>
      <w:pPr>
        <w:spacing w:after="80"/>
      </w:pPr>
      <w:r>
        <w:t xml:space="preserve"/>
      </w:r>
    </w:p>
    <w:p>
      <w:pPr>
        <w:spacing w:after="120"/>
        <w:jc w:val="both"/>
      </w:pPr>
      <w:r>
        <w:rPr>
          <w:b/>
          <w:bCs/>
          <w:i w:val="false"/>
          <w:iCs w:val="false"/>
          <w:color w:val="000000"/>
          <w:sz w:val="22"/>
          <w:szCs w:val="22"/>
        </w:rPr>
        <w:t xml:space="preserve">Table 9. Adaptive attack 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Model</w:t>
            </w:r>
          </w:p>
        </w:tc>
        <w:tc>
          <w:tcPr>
            <w:tcW w:type="dxa" w:w="18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Static ASR (%)</w:t>
            </w:r>
          </w:p>
        </w:tc>
        <w:tc>
          <w:tcPr>
            <w:tcW w:type="dxa" w:w="1800"/>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Adaptive ASR (%)</w:t>
            </w:r>
          </w:p>
        </w:tc>
        <w:tc>
          <w:tcPr>
            <w:tcW w:type="dxa" w:w="2926"/>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Robustness Gap</w:t>
            </w:r>
          </w:p>
        </w:tc>
      </w:tr>
      <w:tr>
        <w:tc>
          <w:tcPr>
            <w:tcW w:type="dxa" w:w="2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Base Model</w:t>
            </w:r>
          </w:p>
        </w:tc>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91.75</w:t>
            </w:r>
          </w:p>
        </w:tc>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98.50</w:t>
            </w:r>
          </w:p>
        </w:tc>
        <w:tc>
          <w:tcPr>
            <w:tcW w:type="dxa" w:w="29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-6.75pp</w:t>
            </w:r>
          </w:p>
        </w:tc>
      </w:tr>
      <w:tr>
        <w:tc>
          <w:tcPr>
            <w:tcW w:type="dxa" w:w="25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Fine-tuned (Ours)</w:t>
            </w:r>
          </w:p>
        </w:tc>
        <w:tc>
          <w:tcPr>
            <w:tcW w:type="dxa" w:w="1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74.00</w:t>
            </w:r>
          </w:p>
        </w:tc>
        <w:tc>
          <w:tcPr>
            <w:tcW w:type="dxa" w:w="1800"/>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78.20</w:t>
            </w:r>
          </w:p>
        </w:tc>
        <w:tc>
          <w:tcPr>
            <w:tcW w:type="dxa" w:w="2926"/>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-4.20pp</w:t>
            </w:r>
          </w:p>
        </w:tc>
      </w:tr>
      <w:tr>
        <w:tc>
          <w:tcPr>
            <w:tcW w:type="dxa" w:w="25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SeaLLM-7B-v2.5</w:t>
            </w:r>
          </w:p>
        </w:tc>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85.00</w:t>
            </w:r>
          </w:p>
        </w:tc>
        <w:tc>
          <w:tcPr>
            <w:tcW w:type="dxa" w:w="1800"/>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92.40</w:t>
            </w:r>
          </w:p>
        </w:tc>
        <w:tc>
          <w:tcPr>
            <w:tcW w:type="dxa" w:w="2926"/>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-7.40pp</w:t>
            </w:r>
          </w:p>
        </w:tc>
      </w:tr>
    </w:tbl>
    <w:p>
      <w:pPr>
        <w:spacing w:after="80"/>
      </w:pPr>
      <w:r>
        <w:t xml:space="preserve"/>
      </w:r>
    </w:p>
    <w:p>
      <w:pPr>
        <w:pStyle w:val="Heading1"/>
      </w:pPr>
      <w:r>
        <w:rPr>
          <w:b/>
          <w:bCs/>
        </w:rPr>
        <w:t xml:space="preserve">7. Discussion</w:t>
      </w:r>
    </w:p>
    <w:p>
      <w:pPr>
        <w:pStyle w:val="Heading2"/>
      </w:pPr>
      <w:r>
        <w:rPr>
          <w:b/>
          <w:bCs/>
        </w:rPr>
        <w:t xml:space="preserve">7.1. OWASP Risk Mapping</w:t>
      </w:r>
    </w:p>
    <w:p>
      <w:pPr>
        <w:spacing w:after="120"/>
        <w:jc w:val="both"/>
      </w:pPr>
      <w:r>
        <w:rPr>
          <w:b w:val="false"/>
          <w:bCs w:val="false"/>
          <w:i w:val="false"/>
          <w:iCs w:val="false"/>
          <w:color w:val="000000"/>
          <w:sz w:val="22"/>
          <w:szCs w:val="22"/>
        </w:rPr>
        <w:t xml:space="preserve">Table 10 maps the evaluated attack categories to the OWASP Top 10 for LLM Applications 2025, providing a standardized risk assessment framework for Vietnamese AI security evaluation.</w:t>
      </w:r>
    </w:p>
    <w:p>
      <w:pPr>
        <w:spacing w:after="80"/>
      </w:pPr>
      <w:r>
        <w:t xml:space="preserve"/>
      </w:r>
    </w:p>
    <w:p>
      <w:pPr>
        <w:spacing w:after="120"/>
        <w:jc w:val="both"/>
      </w:pPr>
      <w:r>
        <w:rPr>
          <w:b/>
          <w:bCs/>
          <w:i w:val="false"/>
          <w:iCs w:val="false"/>
          <w:color w:val="000000"/>
          <w:sz w:val="22"/>
          <w:szCs w:val="22"/>
        </w:rPr>
        <w:t xml:space="preserve">Table 10. Prompt injection attack categories and corresponding OWASP LLM01:2025 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Attack Category</w:t>
            </w:r>
          </w:p>
        </w:tc>
        <w:tc>
          <w:tcPr>
            <w:tcW w:type="dxa" w:w="4513"/>
            <w:tcBorders>
              <w:top w:val="single" w:color="2C3E50" w:sz="4"/>
              <w:left w:val="single" w:color="2C3E50" w:sz="4"/>
              <w:bottom w:val="single" w:color="2C3E50" w:sz="4"/>
              <w:right w:val="single" w:color="2C3E50" w:sz="4"/>
            </w:tcBorders>
            <w:shd w:fill="1A5276" w:val="clear"/>
            <w:tcMar>
              <w:top w:type="dxa" w:w="80"/>
              <w:left w:type="dxa" w:w="120"/>
              <w:bottom w:type="dxa" w:w="80"/>
              <w:right w:type="dxa" w:w="120"/>
            </w:tcMar>
            <w:vAlign w:val="center"/>
          </w:tcPr>
          <w:p>
            <w:pPr>
              <w:jc w:val="center"/>
            </w:pPr>
            <w:r>
              <w:rPr>
                <w:b/>
                <w:bCs/>
                <w:color w:val="FFFFFF"/>
                <w:sz w:val="20"/>
                <w:szCs w:val="20"/>
              </w:rPr>
              <w:t xml:space="preserve">OWASP Mapping</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Straightforward PI &amp; Ignore PI</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Direct Injection, Indirect Injection</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Completion PI</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Scenario #6: Payload Splitting / Structure Manipulation</w:t>
            </w:r>
          </w:p>
        </w:tc>
      </w:tr>
      <w:tr>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Adaptive Attacks</w:t>
            </w:r>
          </w:p>
        </w:tc>
        <w:tc>
          <w:tcPr>
            <w:tcW w:type="dxa" w:w="4513"/>
            <w:tcBorders>
              <w:top w:val="single" w:color="2C3E50" w:sz="4"/>
              <w:left w:val="single" w:color="2C3E50" w:sz="4"/>
              <w:bottom w:val="single" w:color="2C3E50" w:sz="4"/>
              <w:right w:val="single" w:color="2C3E50" w:sz="4"/>
            </w:tcBorders>
            <w:shd w:fill="F2F3F4" w:val="clear"/>
            <w:tcMar>
              <w:top w:type="dxa" w:w="60"/>
              <w:left w:type="dxa" w:w="120"/>
              <w:bottom w:type="dxa" w:w="60"/>
              <w:right w:type="dxa" w:w="120"/>
            </w:tcMar>
          </w:tcPr>
          <w:p>
            <w:pPr>
              <w:spacing w:after="0"/>
              <w:jc w:val="left"/>
            </w:pPr>
            <w:r>
              <w:rPr>
                <w:sz w:val="19"/>
                <w:szCs w:val="19"/>
              </w:rPr>
              <w:t xml:space="preserve">Scenario #9: Multilingual / Obfuscated Attack</w:t>
            </w:r>
          </w:p>
        </w:tc>
      </w:tr>
      <w:tr>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GCG / AutoDAN / NeuralExec</w:t>
            </w:r>
          </w:p>
        </w:tc>
        <w:tc>
          <w:tcPr>
            <w:tcW w:type="dxa" w:w="4513"/>
            <w:tcBorders>
              <w:top w:val="single" w:color="2C3E50" w:sz="4"/>
              <w:left w:val="single" w:color="2C3E50" w:sz="4"/>
              <w:bottom w:val="single" w:color="2C3E50" w:sz="4"/>
              <w:right w:val="single" w:color="2C3E50" w:sz="4"/>
            </w:tcBorders>
            <w:shd w:fill="FDFEFE" w:val="clear"/>
            <w:tcMar>
              <w:top w:type="dxa" w:w="60"/>
              <w:left w:type="dxa" w:w="120"/>
              <w:bottom w:type="dxa" w:w="60"/>
              <w:right w:type="dxa" w:w="120"/>
            </w:tcMar>
          </w:tcPr>
          <w:p>
            <w:pPr>
              <w:spacing w:after="0"/>
              <w:jc w:val="left"/>
            </w:pPr>
            <w:r>
              <w:rPr>
                <w:sz w:val="19"/>
                <w:szCs w:val="19"/>
              </w:rPr>
              <w:t xml:space="preserve">Scenario #8: Adversarial Suffix</w:t>
            </w:r>
          </w:p>
        </w:tc>
      </w:tr>
    </w:tbl>
    <w:p>
      <w:pPr>
        <w:spacing w:after="80"/>
      </w:pPr>
      <w:r>
        <w:t xml:space="preserve"/>
      </w:r>
    </w:p>
    <w:p>
      <w:pPr>
        <w:pStyle w:val="Heading2"/>
      </w:pPr>
      <w:r>
        <w:rPr>
          <w:b/>
          <w:bCs/>
        </w:rPr>
        <w:t xml:space="preserve">7.2. Security-Utility Trade-off</w:t>
      </w:r>
    </w:p>
    <w:p>
      <w:pPr>
        <w:spacing w:after="120"/>
        <w:jc w:val="both"/>
      </w:pPr>
      <w:r>
        <w:rPr>
          <w:b w:val="false"/>
          <w:bCs w:val="false"/>
          <w:i w:val="false"/>
          <w:iCs w:val="false"/>
          <w:color w:val="000000"/>
          <w:sz w:val="22"/>
          <w:szCs w:val="22"/>
        </w:rPr>
        <w:t xml:space="preserve">In adversarial SFT, maximizing the absolute likelihood of secure outputs redistributes probability mass away from utility-relevant outputs, causing measurable benchmark degradation. DPO instead maximizes the log-probability margin between chosen and rejected responses. By integrating RPO (SFT anchor, alpha_rpo = 0.5) and cDPO (epsilon = 0.1), we constrain this margin relative to the reference policy, keeping the output distribution on non-attacked inputs tightly anchored to the Llama-3.1-8B-Instruct initialization. The ablation in Table 6b quantitatively confirms this mechanism: DPO alone causes -1.82 pp MMLU degradation, while the full combination achieves -0.03 pp.</w:t>
      </w:r>
    </w:p>
    <w:p>
      <w:pPr>
        <w:pStyle w:val="Heading2"/>
      </w:pPr>
      <w:r>
        <w:rPr>
          <w:b/>
          <w:bCs/>
        </w:rPr>
        <w:t xml:space="preserve">7.3. Scaling Argument</w:t>
      </w:r>
    </w:p>
    <w:p>
      <w:pPr>
        <w:spacing w:after="120"/>
        <w:jc w:val="both"/>
      </w:pPr>
      <w:r>
        <w:rPr>
          <w:b w:val="false"/>
          <w:bCs w:val="false"/>
          <w:i w:val="false"/>
          <w:iCs w:val="false"/>
          <w:color w:val="000000"/>
          <w:sz w:val="22"/>
          <w:szCs w:val="22"/>
        </w:rPr>
        <w:t xml:space="preserve">The Meta SecAlign scaling analysis reveals a paradox: stronger LLMs are initially more vulnerable to prompt injection due to stronger instruction-following, but converge to a near-zero ASR frontier once secured with the SecAlign++ recipe. The larger capacity margin of 70B models allows them to internalize complex security boundaries more effectively. This explains the gap between our 74% AVG ASR (8B model) and META-SECALIGN-70B's 6.4% ASR (70B model): the gap is primarily attributable to model scale, not to our bilingual methodology. Applying the same recipe to larger Vietnamese-capable models such as PhoGPT would be expected to yield substantially lower residual ASR.</w:t>
      </w:r>
    </w:p>
    <w:p>
      <w:pPr>
        <w:pStyle w:val="Heading2"/>
      </w:pPr>
      <w:r>
        <w:rPr>
          <w:b/>
          <w:bCs/>
        </w:rPr>
        <w:t xml:space="preserve">7.4. Cross-Lingual Generalization</w:t>
      </w:r>
    </w:p>
    <w:p>
      <w:pPr>
        <w:spacing w:after="120"/>
        <w:jc w:val="both"/>
      </w:pPr>
      <w:r>
        <w:rPr>
          <w:b w:val="false"/>
          <w:bCs w:val="false"/>
          <w:i w:val="false"/>
          <w:iCs w:val="false"/>
          <w:color w:val="000000"/>
          <w:sz w:val="22"/>
          <w:szCs w:val="22"/>
        </w:rPr>
        <w:t xml:space="preserve">The 10-axis benchmark and Vi-InjectEval together validate cross-lingual generalization. On explicit cross-lingual injection vectors (ATTACK-03), the fine-tuned model achieves 52.0% ASR, outperforming both Llama-Base (63.5%) and SeaLLM-7B-v2.5 (54.5%). The DPO objective does not train the model to memorize language-specific injection keywords; instead, it conditions the model to assign lower log-probabilities to any output that follows instructions from untrusted input channels, regardless of language. The security policy is encoded at the level of structural roles and behavioral boundaries, not lexical surface forms, which explains its cross-lingual effectiveness.</w:t>
      </w:r>
    </w:p>
    <w:p>
      <w:pPr>
        <w:pStyle w:val="Heading2"/>
      </w:pPr>
      <w:r>
        <w:rPr>
          <w:b/>
          <w:bCs/>
        </w:rPr>
        <w:t xml:space="preserve">7.5. Cross-Architecture Generalization</w:t>
      </w:r>
    </w:p>
    <w:p>
      <w:pPr>
        <w:spacing w:after="120"/>
        <w:jc w:val="both"/>
      </w:pPr>
      <w:r>
        <w:rPr>
          <w:b w:val="false"/>
          <w:bCs w:val="false"/>
          <w:i w:val="false"/>
          <w:iCs w:val="false"/>
          <w:color w:val="000000"/>
          <w:sz w:val="22"/>
          <w:szCs w:val="22"/>
        </w:rPr>
        <w:t xml:space="preserve">The SecAlign++ recipe carries two Llama-specific dependencies: the definition of the input message role via Llama delimiter tokens, and the recursive filter calibrated to four Llama special tokens. The core defense mechanism — DPO preference optimization — is architecture-agnostic and applies to any open-weight model family that supports attention-layer LoRA fine-tuning. Empirical validation on a GPT-style base model is deferred to future work.</w:t>
      </w:r>
    </w:p>
    <w:p>
      <w:pPr>
        <w:pStyle w:val="Heading2"/>
      </w:pPr>
      <w:r>
        <w:rPr>
          <w:b/>
          <w:bCs/>
        </w:rPr>
        <w:t xml:space="preserve">7.6. Limitations</w:t>
      </w:r>
    </w:p>
    <w:p>
      <w:pPr>
        <w:pStyle w:val="ListParagraph"/>
        <w:numPr>
          <w:ilvl w:val="0"/>
          <w:numId w:val="2"/>
        </w:numPr>
        <w:spacing w:after="80"/>
      </w:pPr>
      <w:r>
        <w:rPr>
          <w:sz w:val="22"/>
          <w:szCs w:val="22"/>
        </w:rPr>
        <w:t xml:space="preserve">Single-turn scope. The threat model and training data cover single-turn indirect injections only. Multi-turn progressive injection (where payloads are distributed across conversation turns) is neither addressed in training nor evaluated. ATTACK-01 addresses escalating instruction framing within a single retrieval event and does not constitute multi-turn coverage.</w:t>
      </w:r>
    </w:p>
    <w:p>
      <w:pPr>
        <w:pStyle w:val="ListParagraph"/>
        <w:numPr>
          <w:ilvl w:val="0"/>
          <w:numId w:val="2"/>
        </w:numPr>
        <w:spacing w:after="80"/>
      </w:pPr>
      <w:r>
        <w:rPr>
          <w:sz w:val="22"/>
          <w:szCs w:val="22"/>
        </w:rPr>
        <w:t xml:space="preserve">Training context length. The 384-token maximum covers 99.9% of training samples but is short relative to production RAG deployments. Whether security generalizes to 16,384-token Vietnamese inputs remains an open empirical question.</w:t>
      </w:r>
    </w:p>
    <w:p>
      <w:pPr>
        <w:pStyle w:val="ListParagraph"/>
        <w:numPr>
          <w:ilvl w:val="0"/>
          <w:numId w:val="2"/>
        </w:numPr>
        <w:spacing w:after="80"/>
      </w:pPr>
      <w:r>
        <w:rPr>
          <w:sz w:val="22"/>
          <w:szCs w:val="22"/>
        </w:rPr>
        <w:t xml:space="preserve">Base64 obfuscation ceiling. ATTACK-09 achieves 100% ASR for all models. As discussed in Section 6.3, this is a pre-training-level capability that the current DPO regime cannot override. Remediation requires either pre-training data filtering or a dedicated preprocessing layer.</w:t>
      </w:r>
    </w:p>
    <w:p>
      <w:pPr>
        <w:pStyle w:val="ListParagraph"/>
        <w:numPr>
          <w:ilvl w:val="0"/>
          <w:numId w:val="2"/>
        </w:numPr>
        <w:spacing w:after="80"/>
      </w:pPr>
      <w:r>
        <w:rPr>
          <w:sz w:val="22"/>
          <w:szCs w:val="22"/>
        </w:rPr>
        <w:t xml:space="preserve">Vi-InjectEval scope. Although Vi-InjectEval represents the first formal Vietnamese injection test set, 500 samples is modest. Future work should expand to 2,000+ samples across a wider range of domains (healthcare, legal, administrative).</w:t>
      </w:r>
    </w:p>
    <w:p>
      <w:pPr>
        <w:pStyle w:val="ListParagraph"/>
        <w:numPr>
          <w:ilvl w:val="0"/>
          <w:numId w:val="2"/>
        </w:numPr>
        <w:spacing w:after="80"/>
      </w:pPr>
      <w:r>
        <w:rPr>
          <w:sz w:val="22"/>
          <w:szCs w:val="22"/>
        </w:rPr>
        <w:t xml:space="preserve">No direct comparison with SecAlign++ at 8B scale. Published 8B checkpoints for SecAlign++ English-only are not available; we therefore cannot precisely quantify whether our bilingual approach improves or degrades English security relative to monolingual training at equivalent scale.</w:t>
      </w:r>
    </w:p>
    <w:p>
      <w:pPr>
        <w:spacing w:after="80"/>
      </w:pPr>
      <w:r>
        <w:t xml:space="preserve"/>
      </w:r>
    </w:p>
    <w:p>
      <w:pPr>
        <w:pStyle w:val="Heading1"/>
      </w:pPr>
      <w:r>
        <w:rPr>
          <w:b/>
          <w:bCs/>
        </w:rPr>
        <w:t xml:space="preserve">8. Conclusion</w:t>
      </w:r>
    </w:p>
    <w:p>
      <w:pPr>
        <w:spacing w:after="120"/>
        <w:jc w:val="both"/>
      </w:pPr>
      <w:r>
        <w:rPr>
          <w:b w:val="false"/>
          <w:bCs w:val="false"/>
          <w:i w:val="false"/>
          <w:iCs w:val="false"/>
          <w:color w:val="000000"/>
          <w:sz w:val="22"/>
          <w:szCs w:val="22"/>
        </w:rPr>
        <w:t xml:space="preserve">This paper presents the first open-source, model-level prompt injection defense for Vietnamese, verified with a claim of priority based on a systematic literature search (Section 2.2). A 26,819-sample bilingual Vietnamese-English DPO preference dataset, constructed from five curated sources (52.2% Vietnamese), represents the first such resource for prompt injection defense. Vi-InjectEval, a 500-sample human-verified Vietnamese injection test set, enables reproducible cross-lingual security evaluation.</w:t>
      </w:r>
    </w:p>
    <w:p>
      <w:pPr>
        <w:spacing w:after="120"/>
        <w:jc w:val="both"/>
      </w:pPr>
      <w:r>
        <w:rPr>
          <w:b w:val="false"/>
          <w:bCs w:val="false"/>
          <w:i w:val="false"/>
          <w:iCs w:val="false"/>
          <w:color w:val="000000"/>
          <w:sz w:val="22"/>
          <w:szCs w:val="22"/>
        </w:rPr>
        <w:t xml:space="preserve">Adapting SecAlign++ for Llama-3.1-8B-Instruct with DPO, RPO, and cDPO reduces AVG ASR from 91.75% to 74.00% and Vi-InjectEval ASR from 98.6% to 83.9%, while maintaining MMLU at 68.24% (a 0.03 pp deviation from the undefended baseline), surpassing SeaLLM-7B-v2.5 on all security metrics without incurring utility cost. Ablation experiments confirm that all three components (DPO, RPO, cDPO) are individually necessary. Phase-2 training contributes measurable improvements across nine of ten novel attack vectors.</w:t>
      </w:r>
    </w:p>
    <w:p>
      <w:pPr>
        <w:spacing w:after="120"/>
        <w:jc w:val="both"/>
      </w:pPr>
      <w:r>
        <w:rPr>
          <w:b w:val="false"/>
          <w:bCs w:val="false"/>
          <w:i w:val="false"/>
          <w:iCs w:val="false"/>
          <w:color w:val="000000"/>
          <w:sz w:val="22"/>
          <w:szCs w:val="22"/>
        </w:rPr>
        <w:t xml:space="preserve">The methodology is designed for reuse: the dataset construction pipeline, the combined DPO+RPO+cDPO objective, and the cross-architecture adaptation recipe constitute a transferable framework for extending model-level prompt injection defense to other low-resource languages. Three immediate priorities remain: (1) scaling to PhoGPT or larger Vietnamese-capable models to close the gap with 70B-scale security frontiers; (2) addressing Base64 Obfuscation (ATTACK-09) at the pre-training or preprocessing level; (3) expanding Vi-InjectEval to broader Vietnamese domains.</w:t>
      </w:r>
    </w:p>
    <w:p>
      <w:pPr>
        <w:spacing w:after="80"/>
      </w:pPr>
      <w:r>
        <w:t xml:space="preserve"/>
      </w:r>
    </w:p>
    <w:p>
      <w:pPr>
        <w:pStyle w:val="Heading1"/>
      </w:pPr>
      <w:r>
        <w:rPr>
          <w:b/>
          <w:bCs/>
        </w:rPr>
        <w:t xml:space="preserve">References</w:t>
      </w:r>
    </w:p>
    <w:p>
      <w:pPr>
        <w:pStyle w:val="ListParagraph"/>
        <w:numPr>
          <w:ilvl w:val="0"/>
          <w:numId w:val="3"/>
        </w:numPr>
        <w:spacing w:after="80"/>
      </w:pPr>
      <w:r>
        <w:rPr>
          <w:sz w:val="22"/>
          <w:szCs w:val="22"/>
        </w:rPr>
        <w:t xml:space="preserve">[1] Chen S, et al. SecAlign: Defending against prompt injection with preference optimization. CCS 2025, pp. 2833-2847. https://doi.org/10.1145/3719027.3744836</w:t>
      </w:r>
    </w:p>
    <w:p>
      <w:pPr>
        <w:pStyle w:val="ListParagraph"/>
        <w:numPr>
          <w:ilvl w:val="0"/>
          <w:numId w:val="3"/>
        </w:numPr>
        <w:spacing w:after="80"/>
      </w:pPr>
      <w:r>
        <w:rPr>
          <w:sz w:val="22"/>
          <w:szCs w:val="22"/>
        </w:rPr>
        <w:t xml:space="preserve">[2] Chen S, et al. Meta SecAlign: A secure foundation LLM against prompt injection attacks. arXiv:2507.02735. 2026.</w:t>
      </w:r>
    </w:p>
    <w:p>
      <w:pPr>
        <w:pStyle w:val="ListParagraph"/>
        <w:numPr>
          <w:ilvl w:val="0"/>
          <w:numId w:val="3"/>
        </w:numPr>
        <w:spacing w:after="80"/>
      </w:pPr>
      <w:r>
        <w:rPr>
          <w:sz w:val="22"/>
          <w:szCs w:val="22"/>
        </w:rPr>
        <w:t xml:space="preserve">[3] Chen S, et al. StruQ: Defending against prompt injection with structured queries. USENIX Security 2025.</w:t>
      </w:r>
    </w:p>
    <w:p>
      <w:pPr>
        <w:pStyle w:val="ListParagraph"/>
        <w:numPr>
          <w:ilvl w:val="0"/>
          <w:numId w:val="3"/>
        </w:numPr>
        <w:spacing w:after="80"/>
      </w:pPr>
      <w:r>
        <w:rPr>
          <w:sz w:val="22"/>
          <w:szCs w:val="22"/>
        </w:rPr>
        <w:t xml:space="preserve">[4] Rafailov R, et al. Direct preference optimization: Your language model is secretly a reward model. NeurIPS 2023, Vol. 36, pp. 53728-53741.</w:t>
      </w:r>
    </w:p>
    <w:p>
      <w:pPr>
        <w:pStyle w:val="ListParagraph"/>
        <w:numPr>
          <w:ilvl w:val="0"/>
          <w:numId w:val="3"/>
        </w:numPr>
        <w:spacing w:after="80"/>
      </w:pPr>
      <w:r>
        <w:rPr>
          <w:sz w:val="22"/>
          <w:szCs w:val="22"/>
        </w:rPr>
        <w:t xml:space="preserve">[5] Wallace E, et al. The instruction hierarchy: Training LLMs to prioritize privileged instructions. arXiv:2404.13208. 2024.</w:t>
      </w:r>
    </w:p>
    <w:p>
      <w:pPr>
        <w:pStyle w:val="ListParagraph"/>
        <w:numPr>
          <w:ilvl w:val="0"/>
          <w:numId w:val="3"/>
        </w:numPr>
        <w:spacing w:after="80"/>
      </w:pPr>
      <w:r>
        <w:rPr>
          <w:sz w:val="22"/>
          <w:szCs w:val="22"/>
        </w:rPr>
        <w:t xml:space="preserve">[6] Wu T, et al. Instructional segment embedding: Improving LLM safety with instruction hierarchy. arXiv:2410.09102. 2024.</w:t>
      </w:r>
    </w:p>
    <w:p>
      <w:pPr>
        <w:pStyle w:val="ListParagraph"/>
        <w:numPr>
          <w:ilvl w:val="0"/>
          <w:numId w:val="3"/>
        </w:numPr>
        <w:spacing w:after="80"/>
      </w:pPr>
      <w:r>
        <w:rPr>
          <w:sz w:val="22"/>
          <w:szCs w:val="22"/>
        </w:rPr>
        <w:t xml:space="preserve">[7] Zou A, et al. Universal and transferable adversarial attacks on aligned language models. arXiv:2307.15043. 2023.</w:t>
      </w:r>
    </w:p>
    <w:p>
      <w:pPr>
        <w:pStyle w:val="ListParagraph"/>
        <w:numPr>
          <w:ilvl w:val="0"/>
          <w:numId w:val="3"/>
        </w:numPr>
        <w:spacing w:after="80"/>
      </w:pPr>
      <w:r>
        <w:rPr>
          <w:sz w:val="22"/>
          <w:szCs w:val="22"/>
        </w:rPr>
        <w:t xml:space="preserve">[8] OWASP GenAI Security Project. OWASP Top 10 for LLM Applications 2025. 2024.</w:t>
      </w:r>
    </w:p>
    <w:p>
      <w:pPr>
        <w:pStyle w:val="ListParagraph"/>
        <w:numPr>
          <w:ilvl w:val="0"/>
          <w:numId w:val="3"/>
        </w:numPr>
        <w:spacing w:after="80"/>
      </w:pPr>
      <w:r>
        <w:rPr>
          <w:sz w:val="22"/>
          <w:szCs w:val="22"/>
        </w:rPr>
        <w:t xml:space="preserve">[9] Ji J, et al. PKU-SafeRLHF: Towards multi-level safety alignment for LLMs with human preference. ACL 2025, pp. 31983-32016.</w:t>
      </w:r>
    </w:p>
    <w:p>
      <w:pPr>
        <w:pStyle w:val="ListParagraph"/>
        <w:numPr>
          <w:ilvl w:val="0"/>
          <w:numId w:val="3"/>
        </w:numPr>
        <w:spacing w:after="80"/>
      </w:pPr>
      <w:r>
        <w:rPr>
          <w:sz w:val="22"/>
          <w:szCs w:val="22"/>
        </w:rPr>
        <w:t xml:space="preserve">[10] Hoang PG, et al. ViHOS: Hate speech spans detection for Vietnamese. EACL 2023, pp. 652-669.</w:t>
      </w:r>
    </w:p>
    <w:p>
      <w:pPr>
        <w:pStyle w:val="ListParagraph"/>
        <w:numPr>
          <w:ilvl w:val="0"/>
          <w:numId w:val="3"/>
        </w:numPr>
        <w:spacing w:after="80"/>
      </w:pPr>
      <w:r>
        <w:rPr>
          <w:sz w:val="22"/>
          <w:szCs w:val="22"/>
        </w:rPr>
        <w:t xml:space="preserve">[11] Luu ST, et al. A large-scale dataset for hate speech detection on Vietnamese social media texts. NLPIR 2021.</w:t>
      </w:r>
    </w:p>
    <w:p>
      <w:pPr>
        <w:pStyle w:val="ListParagraph"/>
        <w:numPr>
          <w:ilvl w:val="0"/>
          <w:numId w:val="3"/>
        </w:numPr>
        <w:spacing w:after="80"/>
      </w:pPr>
      <w:r>
        <w:rPr>
          <w:sz w:val="22"/>
          <w:szCs w:val="22"/>
        </w:rPr>
        <w:t xml:space="preserve">[12] Nguyen DQ, et al. PhoGPT: Generative pre-training for Vietnamese. arXiv:2311.02945. 2023.</w:t>
      </w:r>
    </w:p>
    <w:p>
      <w:pPr>
        <w:pStyle w:val="ListParagraph"/>
        <w:numPr>
          <w:ilvl w:val="0"/>
          <w:numId w:val="3"/>
        </w:numPr>
        <w:spacing w:after="80"/>
      </w:pPr>
      <w:r>
        <w:rPr>
          <w:sz w:val="22"/>
          <w:szCs w:val="22"/>
        </w:rPr>
        <w:t xml:space="preserve">[13] Bhatt M, et al. CyberSecEval 2: A wide-ranging cybersecurity evaluation suite for large language models. arXiv:2404.13161. 2024.</w:t>
      </w:r>
    </w:p>
    <w:p>
      <w:pPr>
        <w:pStyle w:val="ListParagraph"/>
        <w:numPr>
          <w:ilvl w:val="0"/>
          <w:numId w:val="3"/>
        </w:numPr>
        <w:spacing w:after="80"/>
      </w:pPr>
      <w:r>
        <w:rPr>
          <w:sz w:val="22"/>
          <w:szCs w:val="22"/>
        </w:rPr>
        <w:t xml:space="preserve">[14] Zhan Q, et al. InjecAgent: Benchmarking indirect prompt injections in tool-integrated LLM agents. ACL Findings 2024, pp. 10471-10506.</w:t>
      </w:r>
    </w:p>
    <w:p>
      <w:pPr>
        <w:pStyle w:val="ListParagraph"/>
        <w:numPr>
          <w:ilvl w:val="0"/>
          <w:numId w:val="3"/>
        </w:numPr>
        <w:spacing w:after="80"/>
      </w:pPr>
      <w:r>
        <w:rPr>
          <w:sz w:val="22"/>
          <w:szCs w:val="22"/>
        </w:rPr>
        <w:t xml:space="preserve">[15] Cho K, et al. Iterative reasoning preference optimization. NeurIPS 2024, Vol. 37, pp. 116617-116637.</w:t>
      </w:r>
    </w:p>
    <w:p>
      <w:pPr>
        <w:pStyle w:val="ListParagraph"/>
        <w:numPr>
          <w:ilvl w:val="0"/>
          <w:numId w:val="3"/>
        </w:numPr>
        <w:spacing w:after="80"/>
      </w:pPr>
      <w:r>
        <w:rPr>
          <w:sz w:val="22"/>
          <w:szCs w:val="22"/>
        </w:rPr>
        <w:t xml:space="preserve">[16] Chen J, et al. On extending direct preference optimization to accommodate ties. arXiv:2409.17431. 2025.</w:t>
      </w:r>
    </w:p>
    <w:p>
      <w:pPr>
        <w:pStyle w:val="ListParagraph"/>
        <w:numPr>
          <w:ilvl w:val="0"/>
          <w:numId w:val="3"/>
        </w:numPr>
        <w:spacing w:after="80"/>
      </w:pPr>
      <w:r>
        <w:rPr>
          <w:sz w:val="22"/>
          <w:szCs w:val="22"/>
        </w:rPr>
        <w:t xml:space="preserve">[17] Szegedy C, et al. Rethinking the inception architecture for computer vision. arXiv:1512.00567. 2015.</w:t>
      </w:r>
    </w:p>
    <w:p>
      <w:pPr>
        <w:pStyle w:val="ListParagraph"/>
        <w:numPr>
          <w:ilvl w:val="0"/>
          <w:numId w:val="3"/>
        </w:numPr>
        <w:spacing w:after="80"/>
      </w:pPr>
      <w:r>
        <w:rPr>
          <w:sz w:val="22"/>
          <w:szCs w:val="22"/>
        </w:rPr>
        <w:t xml:space="preserve">[18] Hu EJ, et al. LoRA: Low-rank adaptation of large language models. arXiv:2106.09685. 2021.</w:t>
      </w:r>
    </w:p>
    <w:p>
      <w:pPr>
        <w:pStyle w:val="ListParagraph"/>
        <w:numPr>
          <w:ilvl w:val="0"/>
          <w:numId w:val="3"/>
        </w:numPr>
        <w:spacing w:after="80"/>
      </w:pPr>
      <w:r>
        <w:rPr>
          <w:sz w:val="22"/>
          <w:szCs w:val="22"/>
        </w:rPr>
        <w:t xml:space="preserve">[19] HuggingFace. TRL: Train transformer language models with reinforcement learning. https://github.com/huggingface/trl</w:t>
      </w:r>
    </w:p>
    <w:p>
      <w:pPr>
        <w:pStyle w:val="ListParagraph"/>
        <w:numPr>
          <w:ilvl w:val="0"/>
          <w:numId w:val="3"/>
        </w:numPr>
        <w:spacing w:after="80"/>
      </w:pPr>
      <w:r>
        <w:rPr>
          <w:sz w:val="22"/>
          <w:szCs w:val="22"/>
        </w:rPr>
        <w:t xml:space="preserve">[20] Geirhos R, et al. Shortcut learning in deep neural networks. Nature Machine Intelligence. 2020;2(11):665-673.</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4"/>
      </w:pBdr>
      <w:jc w:val="center"/>
    </w:pPr>
    <w:r>
      <w:rPr>
        <w:color w:val="7F8C8D"/>
        <w:sz w:val="18"/>
        <w:szCs w:val="18"/>
      </w:rPr>
      <w:t xml:space="preserve">Do Xuan et al. — Training Self-Aware LLMs Against Prompt Injection  |  Page </w:t>
    </w:r>
    <w:r>
      <w:rPr>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i/>
        <w:iCs/>
        <w:color w:val="7F8C8D"/>
        <w:sz w:val="18"/>
        <w:szCs w:val="18"/>
      </w:rPr>
      <w:t xml:space="preserve">EAI Endorsed Transactions — Revised Manuscript  |  VNU-SecAlign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276" w:sz="6" w:space="4"/>
      </w:pBdr>
      <w:spacing w:after="140" w:before="280"/>
      <w:outlineLvl w:val="0"/>
    </w:pPr>
    <w:rPr>
      <w:rFonts w:ascii="Arial" w:cs="Arial" w:eastAsia="Arial" w:hAnsi="Arial"/>
      <w:b/>
      <w:bCs/>
      <w:color w:val="1A527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3E5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2026-05-19T01:36:43.863Z</dcterms:created>
  <dcterms:modified xsi:type="dcterms:W3CDTF">2026-05-19T01:36:43.864Z</dcterms:modified>
</cp:coreProperties>
</file>

<file path=docProps/custom.xml><?xml version="1.0" encoding="utf-8"?>
<Properties xmlns="http://schemas.openxmlformats.org/officeDocument/2006/custom-properties" xmlns:vt="http://schemas.openxmlformats.org/officeDocument/2006/docPropsVTypes"/>
</file>