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77777777" w:rsidR="000324E6" w:rsidRDefault="000324E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lastRenderedPageBreak/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lastRenderedPageBreak/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lastRenderedPageBreak/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lastRenderedPageBreak/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r>
              <w:t>Bát đĩa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lastRenderedPageBreak/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28775839" w:rsidR="009F4849" w:rsidRDefault="008719F8">
            <w:r w:rsidRPr="008719F8">
              <w:t>Counsel</w:t>
            </w:r>
            <w:r>
              <w:t>(v)</w:t>
            </w:r>
          </w:p>
        </w:tc>
        <w:tc>
          <w:tcPr>
            <w:tcW w:w="4675" w:type="dxa"/>
          </w:tcPr>
          <w:p w14:paraId="144E53ED" w14:textId="142AB9AC" w:rsidR="009F4849" w:rsidRDefault="008719F8">
            <w:r>
              <w:t>Tư vấn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0A676C57" w:rsidR="009F4849" w:rsidRDefault="002216AE">
            <w:r w:rsidRPr="002216AE">
              <w:t>Appliance</w:t>
            </w:r>
            <w:r>
              <w:t>(n)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90F02"/>
    <w:rsid w:val="002B0249"/>
    <w:rsid w:val="002D5D45"/>
    <w:rsid w:val="002E490B"/>
    <w:rsid w:val="003941A8"/>
    <w:rsid w:val="003B2CFB"/>
    <w:rsid w:val="003B646D"/>
    <w:rsid w:val="003D336F"/>
    <w:rsid w:val="00410BC2"/>
    <w:rsid w:val="00415256"/>
    <w:rsid w:val="004542DC"/>
    <w:rsid w:val="0047308E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6F75D1"/>
    <w:rsid w:val="00732CF5"/>
    <w:rsid w:val="007338F2"/>
    <w:rsid w:val="00735B22"/>
    <w:rsid w:val="0075555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2024-03-11T11:26:00Z</dcterms:created>
  <dcterms:modified xsi:type="dcterms:W3CDTF">2024-03-29T15:22:00Z</dcterms:modified>
</cp:coreProperties>
</file>