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pStyle w:val="Heading1"/>
      </w:pPr>
      <w:r>
        <w:t>HƯỚNG DẪN SỬ DỤNG VÀ KIỂM THỬ SW-MATE AI</w:t>
      </w:r>
    </w:p>
    <w:p>
      <w:r>
        <w:t xml:space="preserve">Phiên bản: 29/09/2026 | Phạm vi: Phase 7 Drawing Understanding + Stock Material Intelligence V2.</w:t>
      </w:r>
    </w:p>
    <w:p/>
    <w:p>
      <w:pPr>
        <w:pStyle w:val="Heading2"/>
      </w:pPr>
      <w:r>
        <w:t>1. Mục đích</w:t>
      </w:r>
    </w:p>
    <w:p>
      <w:r>
        <w:t xml:space="preserve">Dùng tài liệu này để mở SW-MATE AI trong SOLIDWORKS, chạy từng chức năng bằng nút riêng, kiểm tra kết quả và ghi PASS/FAIL trước khi tối ưu giao diện hoặc mở rộng roadmap.</w:t>
      </w:r>
    </w:p>
    <w:p/>
    <w:p>
      <w:pPr>
        <w:pStyle w:val="Heading2"/>
      </w:pPr>
      <w:r>
        <w:t>2. Nguyên tắc an toàn</w:t>
      </w:r>
    </w:p>
    <w:p>
      <w:r>
        <w:t xml:space="preserve">- Chỉ test thao tác ghi/sửa trên Part, Assembly và Drawing bản sao; không dùng file sản xuất thật.</w:t>
      </w:r>
    </w:p>
    <w:p>
      <w:r>
        <w:t xml:space="preserve">- Lưu Part/Assembly nguồn trước khi tạo Drawing. Chọn đúng Sketch/entity/component/view nếu skill yêu cầu selection.</w:t>
      </w:r>
    </w:p>
    <w:p>
      <w:r>
        <w:t xml:space="preserve">- Với lệnh có xác nhận, đọc mô tả thay đổi rồi mới xác nhận. Sau mỗi test phải xem Status, Kết quả và Log.</w:t>
      </w:r>
    </w:p>
    <w:p/>
    <w:p>
      <w:pPr>
        <w:pStyle w:val="Heading2"/>
      </w:pPr>
      <w:r>
        <w:t>3. Giao diện</w:t>
      </w:r>
    </w:p>
    <w:p>
      <w:r>
        <w:t xml:space="preserve">- Tab Agent AI: nhập yêu cầu tự nhiên, xem kế hoạch, xác nhận và theo dõi kết quả.</w:t>
      </w:r>
    </w:p>
    <w:p>
      <w:r>
        <w:t xml:space="preserve">- Tab Kiểm thử chức năng: hiển thị toàn bộ skill theo nhóm, có ô tham số và nút Chạy riêng; không cần gõ lệnh AI.</w:t>
      </w:r>
    </w:p>
    <w:p>
      <w:r>
        <w:t xml:space="preserve">- Bộ chọn ngôn ngữ Việt/Anh đã được tăng độ tương phản. Vùng Kết quả/Log hiển thị skill, dữ liệu trả về và lỗi.</w:t>
      </w:r>
    </w:p>
    <w:p/>
    <w:p>
      <w:pPr>
        <w:pStyle w:val="Heading2"/>
      </w:pPr>
      <w:r>
        <w:t>4. Thứ tự test khuyến nghị</w:t>
      </w:r>
    </w:p>
    <w:p>
      <w:r>
        <w:t xml:space="preserve">1. Hệ thống -&gt; CAD cơ bản -&gt; Model Reader -&gt; Assembly -&gt; Manufacturing/BOM -&gt; Drawing.</w:t>
      </w:r>
    </w:p>
    <w:p>
      <w:r>
        <w:t xml:space="preserve">2. Dùng thư mục test riêng; với mỗi skill kiểm tra điều kiện đầu vào, sửa tham số mẫu, bấm Chạy, quan sát SOLIDWORKS rồi ghi PASS/FAIL.</w:t>
      </w:r>
    </w:p>
    <w:p>
      <w:r>
        <w:t xml:space="preserve">3. Nếu một skill phụ thuộc skill trước, không bỏ qua bước chuẩn bị (ví dụ phải có Sketch trước Extrude, có Drawing view trước Section/Detail/Dimensions).</w:t>
      </w:r>
    </w:p>
    <w:p/>
    <w:p>
      <w:pPr>
        <w:pStyle w:val="Heading2"/>
      </w:pPr>
      <w:r>
        <w:t>5. Các nhóm chức năng hiện có</w:t>
      </w:r>
    </w:p>
    <w:p>
      <w:r>
        <w:t xml:space="preserve">- Hệ thống/CAD: GetModelInfo; CreatePart; CreateSketch; CreateRectangle; CreateCircle; AddDimension; ModifyDimension; Extrude; CutExtrude; FilletPlateCorners; ChamferPlateCorners; CreatePlate; CreatePlateWithHole.</w:t>
      </w:r>
    </w:p>
    <w:p>
      <w:r>
        <w:t xml:space="preserve">- Model Reader: ReadFeatureTree; ReadFeatures; ReadFeatureDependencies; AnalyzeFeatureImpact; ReadSketches; ReadDimensions; ReadMaterial; ReadMassProperties; ReadCustomProperties; ReadSelectedObject; ReadBoundingBox.</w:t>
      </w:r>
    </w:p>
    <w:p>
      <w:r>
        <w:t xml:space="preserve">- Assembly: ReadAssembly; ReadComponents; ReadMates; CheckInterference; InsertComponent; MoveComponent; AddMate; DeleteMate; ReplaceComponent.</w:t>
      </w:r>
    </w:p>
    <w:p>
      <w:r>
        <w:t xml:space="preserve">- Manufacturing: BuildManufacturingBreakdown; ExportManufacturingBreakdown; ApplyStockMaterials.</w:t>
      </w:r>
    </w:p>
    <w:p>
      <w:r>
        <w:t xml:space="preserve">- BOM: CreateBOM; InsertSolidWorksBOM.</w:t>
      </w:r>
    </w:p>
    <w:p>
      <w:r>
        <w:t xml:space="preserve">- Drawing: CreateDrawing; CreateSheet; InsertStandardViews; InsertIsometricView; CreateSection; CreateDetail; InsertDimensions; InsertDrawingBOM; InsertBalloon; FillTitleBlock; ExportPDF; ExportDXF; ReadDrawing.</w:t>
      </w:r>
    </w:p>
    <w:p/>
    <w:p>
      <w:pPr>
        <w:pStyle w:val="Heading2"/>
      </w:pPr>
      <w:r>
        <w:t>6. Tham số mẫu quan trọng</w:t>
      </w:r>
    </w:p>
    <w:p>
      <w:r>
        <w:t xml:space="preserve">- CAD: Rectangle 60x40; Circle Diameter=10; Extrude/Cut Depth=20; Plate 100x80x10; Fillet Radius=5; Chamfer Distance=3.</w:t>
      </w:r>
    </w:p>
    <w:p>
      <w:r>
        <w:t xml:space="preserve">- Assembly: InsertComponent cần Path; MoveComponent cần ComponentName và XYZ; ReplaceComponent cần ComponentName và NewPath.</w:t>
      </w:r>
    </w:p>
    <w:p>
      <w:r>
        <w:t xml:space="preserve">- Manufacturing: DocumentRoot trỏ tới thư mục tài liệu vật liệu; ThicknessCatalogPath trỏ tới bảng chiều dày được duyệt. ApplyStockMaterials sẽ ghi Stock Material/StockSize vào Part phù hợp.</w:t>
      </w:r>
    </w:p>
    <w:p>
      <w:r>
        <w:t xml:space="preserve">- Drawing: ModelPath cho Standard/Isometric Views; SourceViewName cho Section/Detail; TemplatePath cho BOM; OutputPath cho PDF/DXF.</w:t>
      </w:r>
    </w:p>
    <w:p/>
    <w:p>
      <w:pPr>
        <w:pStyle w:val="Heading2"/>
      </w:pPr>
      <w:r>
        <w:t>7. Tiêu chí PASS/FAIL</w:t>
      </w:r>
    </w:p>
    <w:p>
      <w:r>
        <w:t xml:space="preserve">PASS khi skill trả thành công, thay đổi/đọc đúng đối tượng trong SOLIDWORKS, dữ liệu Log hợp lý và file xuất ra tồn tại khi có export. FAIL khi lỗi, thay đổi sai tài liệu, dữ liệu sai, file không tạo được hoặc kết quả không khớp tham số.</w:t>
      </w:r>
    </w:p>
    <w:p/>
    <w:p>
      <w:pPr>
        <w:pStyle w:val="Heading2"/>
      </w:pPr>
      <w:r>
        <w:t>8. Regression đã xác nhận</w:t>
      </w:r>
    </w:p>
    <w:p>
      <w:r>
        <w:t xml:space="preserve">Tại checkpoint 29/09/2026: full solution build PASS, Core automated tests 31/31 PASS, SolidWorks runtime integration 52/52 PASS. Đây là bằng chứng cho fixture hiện có, không thay thế checklist manual.</w:t>
      </w:r>
    </w:p>
    <w:p/>
    <w:p>
      <w:r>
        <w:t xml:space="preserve">Checklist chi tiết từng nút: docs/MANUAL_TEST_CHECKLIST.md. Ma trận roadmap: docs/ROADMAP_TEST_MATRIX.md.</w:t>
      </w:r>
    </w:p>
    <w:sectPr>
      <w:pgSz w:w="12240" w:h="15840"/>
      <w:pgMar w:top="1440" w:right="1440" w:bottom="1440" w:left="1440"/>
    </w:sectPr>
  </w:body>
</w:document>
</file>

<file path=word/styles.xml><?xml version="1.0" encoding="utf-8"?>
<w:styles xmlns:w="http://schemas.openxmlformats.org/wordprocessingml/2006/main">
  <w:docDefaults>
    <w:rPrDefault>
      <w:rPr>
        <w:rFonts w:ascii="Calibri" w:hAnsi="Calibri"/>
        <w:sz w:val="22"/>
        <w:szCs w:val="22"/>
      </w:rPr>
    </w:rPrDefault>
  </w:docDefaults>
  <w:style w:type="paragraph" w:styleId="Normal" w:default="1">
    <w:name w:val="Normal"/>
  </w:style>
  <w:style w:type="paragraph" w:styleId="Heading1">
    <w:name w:val="heading 1"/>
    <w:pPr>
      <w:outlineLvl w:val="0"/>
    </w:pPr>
    <w:rPr>
      <w:b/>
      <w:sz w:val="32"/>
    </w:rPr>
  </w:style>
  <w:style w:type="paragraph" w:styleId="Heading2">
    <w:name w:val="heading 2"/>
    <w:pPr>
      <w:outlineLvl w:val="1"/>
    </w:pPr>
    <w:rPr>
      <w:b/>
      <w:sz w:val="28"/>
    </w:rPr>
  </w:style>
  <w:style w:type="paragraph" w:styleId="Heading3">
    <w:name w:val="heading 3"/>
    <w:pPr>
      <w:outlineLvl w:val="2"/>
    </w:pPr>
    <w:rPr>
      <w:b/>
      <w:sz w:val="24"/>
    </w:r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s>
</file>