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0"/>
        </w:rPr>
        <w:t>ACBI Technical Solution Proposal: phần bổ sung cho bản v1.1</w:t>
      </w:r>
    </w:p>
    <w:p>
      <w:pPr>
        <w:spacing w:after="120" w:line="288" w:lineRule="auto"/>
      </w:pPr>
      <w:r>
        <w:rPr>
          <w:b w:val="0"/>
          <w:i w:val="0"/>
          <w:color w:val="555B66"/>
        </w:rPr>
        <w:t>Bổ sung các nội dung đã có trong hệ thống nhưng chưa có trong tài liệu v1.0 (arc42). Mỗi mục ghi rõ chèn vào mục nào của tài liệu.</w:t>
      </w:r>
    </w:p>
    <w:p>
      <w:pPr>
        <w:spacing w:after="200" w:line="288" w:lineRule="auto"/>
      </w:pPr>
      <w:r>
        <w:rPr>
          <w:b w:val="0"/>
          <w:i/>
          <w:color w:val="555B66"/>
        </w:rPr>
        <w:t>Ngày lập: 2026-10-13. Các con số kiểm thử lấy từ báo cáo docs/ACBI_bao_cao_kiem_thu.xlsx; chỗ chưa có số được ghi rõ là chưa có.</w:t>
      </w:r>
    </w:p>
    <w:p>
      <w:pPr>
        <w:pStyle w:val="Heading1"/>
      </w:pPr>
      <w:r>
        <w:t>A. Dự báo (chèn vào mục 4.2 và 8)</w:t>
      </w:r>
    </w:p>
    <w:p>
      <w:pPr>
        <w:spacing w:after="120" w:line="288" w:lineRule="auto"/>
      </w:pPr>
      <w:r>
        <w:rPr>
          <w:b w:val="0"/>
          <w:i w:val="0"/>
        </w:rPr>
        <w:t>Hệ thống dự báo doanh thu và sản lượng theo tháng. Các tỷ lệ (tỷ lệ lỗi, tỷ lệ đúng hạn) không dự báo vì không cộng dồn được.</w:t>
      </w:r>
    </w:p>
    <w:p>
      <w:pPr>
        <w:pStyle w:val="ListBullet"/>
        <w:spacing w:after="40"/>
      </w:pPr>
      <w:r>
        <w:t>Dữ liệu vào: tổng theo tháng của 36 tháng đầy đủ gần nhất (chỉ tháng đã kết thúc); cần tối thiểu 24 tháng và chuỗi không đứt quãng.</w:t>
      </w:r>
    </w:p>
    <w:p>
      <w:pPr>
        <w:pStyle w:val="ListBullet"/>
        <w:spacing w:after="40"/>
      </w:pPr>
      <w:r>
        <w:t>Phương pháp: ETS (làm trơn hàm mũ) theo Hyndman (2008), sáu cấu hình (không xu hướng, xu hướng cộng, xu hướng cộng tắt dần, mỗi loại có hoặc không mùa vụ 12 tháng), chọn theo tiêu chí AICc. Cài đặt đã được đối chiếu với thư viện statsmodels trong kiểm thử tự động.</w:t>
      </w:r>
    </w:p>
    <w:p>
      <w:pPr>
        <w:pStyle w:val="ListBullet"/>
        <w:spacing w:after="40"/>
      </w:pPr>
      <w:r>
        <w:t>Khoảng tin cậy 95% tính theo công thức giải tích của ETS.</w:t>
      </w:r>
    </w:p>
    <w:p>
      <w:pPr>
        <w:pStyle w:val="ListBullet"/>
        <w:spacing w:after="40"/>
      </w:pPr>
      <w:r>
        <w:t>Cơ chế từ chối: trước khi đưa số, hệ thống dự báo lại 6 tháng gần nhất bằng chính phần lịch sử còn lại và so với số thật; nếu sai số phần trăm trung bình (MAPE) vượt 35% thì từ chối, nêu lý do và gợi ý xem xu hướng lịch sử. Ngưỡng 35% là ngưỡng ban đầu, chưa có phân tích độ nhạy để hiệu chỉnh.</w:t>
      </w:r>
    </w:p>
    <w:p>
      <w:pPr>
        <w:pStyle w:val="ListBullet"/>
        <w:spacing w:after="40"/>
      </w:pPr>
      <w:r>
        <w:t>Cách hiển thị: câu trả lời luôn mở đầu bằng nhãn 'Dự báo, không phải số liệu đã ghi nhận', kèm khoảng tin cậy, tên mô hình và sai số kiểm thử; biểu đồ phân biệt số đã ghi nhận và số dự báo.</w:t>
      </w:r>
    </w:p>
    <w:p>
      <w:pPr>
        <w:pStyle w:val="ListBullet"/>
        <w:spacing w:after="40"/>
      </w:pPr>
      <w:r>
        <w:t>Số tháng dự báo là tùy chọn (mặc định 6, tối đa 12); hệ thống không hỏi lại số tháng. Câu hỏi nối tiếp như 'thêm 3 tháng nữa' kéo dài dự báo trước đó.</w:t>
      </w:r>
    </w:p>
    <w:p>
      <w:pPr>
        <w:pStyle w:val="Heading3"/>
      </w:pPr>
      <w:r>
        <w:t>Kết quả đánh giá (backtest cuốn chiếu)</w:t>
      </w:r>
    </w:p>
    <w:p>
      <w:pPr>
        <w:spacing w:after="120" w:line="288" w:lineRule="auto"/>
      </w:pPr>
      <w:r>
        <w:rPr>
          <w:b w:val="0"/>
          <w:i w:val="0"/>
        </w:rPr>
        <w:t>Lùi dần gốc dự báo trên dữ liệu mẫu, mỗi gốc dự báo 1 đến 6 tháng rồi so với số đã ghi nhận, và so với ba phương pháp đơn giản (naive, seasonal naive, trung bình 3 tháng).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814"/>
            <w:shd w:val="clear" w:color="auto" w:fill="1F4E3D"/>
          </w:tcPr>
          <w:p>
            <w:r/>
            <w:r>
              <w:rPr>
                <w:b/>
                <w:color w:val="FFFFFF"/>
                <w:sz w:val="19"/>
              </w:rPr>
              <w:t>Chỉ số</w:t>
            </w:r>
          </w:p>
        </w:tc>
        <w:tc>
          <w:tcPr>
            <w:tcW w:type="dxa" w:w="1701"/>
            <w:shd w:val="clear" w:color="auto" w:fill="1F4E3D"/>
          </w:tcPr>
          <w:p>
            <w:r/>
            <w:r>
              <w:rPr>
                <w:b/>
                <w:color w:val="FFFFFF"/>
                <w:sz w:val="19"/>
              </w:rPr>
              <w:t>Số gốc dự báo</w:t>
            </w:r>
          </w:p>
        </w:tc>
        <w:tc>
          <w:tcPr>
            <w:tcW w:type="dxa" w:w="3118"/>
            <w:shd w:val="clear" w:color="auto" w:fill="1F4E3D"/>
          </w:tcPr>
          <w:p>
            <w:r/>
            <w:r>
              <w:rPr>
                <w:b/>
                <w:color w:val="FFFFFF"/>
                <w:sz w:val="19"/>
              </w:rPr>
              <w:t>WAPE ETS (chân trời 1 đến 6)</w:t>
            </w:r>
          </w:p>
        </w:tc>
        <w:tc>
          <w:tcPr>
            <w:tcW w:type="dxa" w:w="2835"/>
            <w:shd w:val="clear" w:color="auto" w:fill="1F4E3D"/>
          </w:tcPr>
          <w:p>
            <w:r/>
            <w:r>
              <w:rPr>
                <w:b/>
                <w:color w:val="FFFFFF"/>
                <w:sz w:val="19"/>
              </w:rPr>
              <w:t>Khoảng tin cậy 95% thực tế phủ</w:t>
            </w:r>
          </w:p>
        </w:tc>
      </w:tr>
      <w:tr>
        <w:tc>
          <w:tcPr>
            <w:tcW w:type="dxa" w:w="1814"/>
          </w:tcPr>
          <w:p>
            <w:r/>
            <w:r>
              <w:rPr>
                <w:sz w:val="19"/>
              </w:rPr>
              <w:t>Doanh thu</w:t>
            </w:r>
          </w:p>
        </w:tc>
        <w:tc>
          <w:tcPr>
            <w:tcW w:type="dxa" w:w="1701"/>
          </w:tcPr>
          <w:p>
            <w:r/>
            <w:r>
              <w:rPr>
                <w:sz w:val="19"/>
              </w:rPr>
              <w:t>12</w:t>
            </w:r>
          </w:p>
        </w:tc>
        <w:tc>
          <w:tcPr>
            <w:tcW w:type="dxa" w:w="3118"/>
          </w:tcPr>
          <w:p>
            <w:r/>
            <w:r>
              <w:rPr>
                <w:sz w:val="19"/>
              </w:rPr>
              <w:t>khoảng 18% đến 26%</w:t>
            </w:r>
          </w:p>
        </w:tc>
        <w:tc>
          <w:tcPr>
            <w:tcW w:type="dxa" w:w="2835"/>
          </w:tcPr>
          <w:p>
            <w:r/>
            <w:r>
              <w:rPr>
                <w:sz w:val="19"/>
              </w:rPr>
              <w:t>67% đến 92%</w:t>
            </w:r>
          </w:p>
        </w:tc>
      </w:tr>
      <w:tr>
        <w:tc>
          <w:tcPr>
            <w:tcW w:type="dxa" w:w="1814"/>
          </w:tcPr>
          <w:p>
            <w:r/>
            <w:r>
              <w:rPr>
                <w:sz w:val="19"/>
              </w:rPr>
              <w:t>Sản lượng</w:t>
            </w:r>
          </w:p>
        </w:tc>
        <w:tc>
          <w:tcPr>
            <w:tcW w:type="dxa" w:w="1701"/>
          </w:tcPr>
          <w:p>
            <w:r/>
            <w:r>
              <w:rPr>
                <w:sz w:val="19"/>
              </w:rPr>
              <w:t>11</w:t>
            </w:r>
          </w:p>
        </w:tc>
        <w:tc>
          <w:tcPr>
            <w:tcW w:type="dxa" w:w="3118"/>
          </w:tcPr>
          <w:p>
            <w:r/>
            <w:r>
              <w:rPr>
                <w:sz w:val="19"/>
              </w:rPr>
              <w:t>khoảng 18% đến 26%</w:t>
            </w:r>
          </w:p>
        </w:tc>
        <w:tc>
          <w:tcPr>
            <w:tcW w:type="dxa" w:w="2835"/>
          </w:tcPr>
          <w:p>
            <w:r/>
            <w:r>
              <w:rPr>
                <w:sz w:val="19"/>
              </w:rPr>
              <w:t>82% đến 100%</w:t>
            </w:r>
          </w:p>
        </w:tc>
      </w:tr>
    </w:tbl>
    <w:p>
      <w:pPr>
        <w:spacing w:after="80"/>
      </w:pPr>
    </w:p>
    <w:p>
      <w:pPr>
        <w:spacing w:after="120" w:line="288" w:lineRule="auto"/>
      </w:pPr>
      <w:r>
        <w:rPr>
          <w:b w:val="0"/>
          <w:i w:val="0"/>
        </w:rPr>
        <w:t>Kết luận: ETS tương đương các phương pháp đơn giản trên dữ liệu mẫu, chưa chứng minh vượt trội. Dữ liệu mô phỏng và ngắn (số mẫu mỗi chân trời từ 7 đến 12). Vì vậy dự báo luôn có nhãn và cơ chế từ chối; cần dữ liệu thật dài hơn trước khi dùng cho quyết định nghiệp vụ.</w:t>
      </w:r>
    </w:p>
    <w:p>
      <w:pPr>
        <w:pStyle w:val="Heading1"/>
      </w:pPr>
      <w:r>
        <w:t>B. Dữ liệu gửi ra dịch vụ AI bên ngoài (chèn vào mục 3.2, 8.3 và 11)</w:t>
      </w:r>
    </w:p>
    <w:p>
      <w:pPr>
        <w:spacing w:after="120" w:line="288" w:lineRule="auto"/>
      </w:pPr>
      <w:r>
        <w:rPr>
          <w:b w:val="0"/>
          <w:i w:val="0"/>
        </w:rPr>
        <w:t>Nguyên tắc: AI không có đường truy cập tới kho dữ liệu. Điều đó không có nghĩa không có thông tin nào rời hệ thống; bảng dưới liệt kê chính xác.</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474"/>
            <w:shd w:val="clear" w:color="auto" w:fill="1F4E3D"/>
          </w:tcPr>
          <w:p>
            <w:r/>
            <w:r>
              <w:rPr>
                <w:b/>
                <w:color w:val="FFFFFF"/>
                <w:sz w:val="19"/>
              </w:rPr>
              <w:t>Lời gọi</w:t>
            </w:r>
          </w:p>
        </w:tc>
        <w:tc>
          <w:tcPr>
            <w:tcW w:type="dxa" w:w="3628"/>
            <w:shd w:val="clear" w:color="auto" w:fill="1F4E3D"/>
          </w:tcPr>
          <w:p>
            <w:r/>
            <w:r>
              <w:rPr>
                <w:b/>
                <w:color w:val="FFFFFF"/>
                <w:sz w:val="19"/>
              </w:rPr>
              <w:t>Nội dung gửi</w:t>
            </w:r>
          </w:p>
        </w:tc>
        <w:tc>
          <w:tcPr>
            <w:tcW w:type="dxa" w:w="2381"/>
            <w:shd w:val="clear" w:color="auto" w:fill="1F4E3D"/>
          </w:tcPr>
          <w:p>
            <w:r/>
            <w:r>
              <w:rPr>
                <w:b/>
                <w:color w:val="FFFFFF"/>
                <w:sz w:val="19"/>
              </w:rPr>
              <w:t>Không gửi</w:t>
            </w:r>
          </w:p>
        </w:tc>
        <w:tc>
          <w:tcPr>
            <w:tcW w:type="dxa" w:w="1928"/>
            <w:shd w:val="clear" w:color="auto" w:fill="1F4E3D"/>
          </w:tcPr>
          <w:p>
            <w:r/>
            <w:r>
              <w:rPr>
                <w:b/>
                <w:color w:val="FFFFFF"/>
                <w:sz w:val="19"/>
              </w:rPr>
              <w:t>Công tắc</w:t>
            </w:r>
          </w:p>
        </w:tc>
      </w:tr>
      <w:tr>
        <w:tc>
          <w:tcPr>
            <w:tcW w:type="dxa" w:w="1474"/>
          </w:tcPr>
          <w:p>
            <w:r/>
            <w:r>
              <w:rPr>
                <w:sz w:val="19"/>
              </w:rPr>
              <w:t>Hiểu câu hỏi</w:t>
            </w:r>
          </w:p>
        </w:tc>
        <w:tc>
          <w:tcPr>
            <w:tcW w:type="dxa" w:w="3628"/>
          </w:tcPr>
          <w:p>
            <w:r/>
            <w:r>
              <w:rPr>
                <w:sz w:val="19"/>
              </w:rPr>
              <w:t>Câu hỏi (tối đa 1000 ký tự); ngày dữ liệu; danh mục chỉ số, chiều, tên khu vực và nhà máy đã duyệt; phiếu yêu cầu lượt trước; tối đa 6 lượt gần nhất (câu hỏi và câu trả lời, số tiền và tỷ lệ đã thay bằng [số])</w:t>
            </w:r>
          </w:p>
        </w:tc>
        <w:tc>
          <w:tcPr>
            <w:tcW w:type="dxa" w:w="2381"/>
          </w:tcPr>
          <w:p>
            <w:r/>
            <w:r>
              <w:rPr>
                <w:sz w:val="19"/>
              </w:rPr>
              <w:t>Dòng kết quả; số tiền của câu trả lời trước; mật khẩu, khóa, vai trò, mã người dùng</w:t>
            </w:r>
          </w:p>
        </w:tc>
        <w:tc>
          <w:tcPr>
            <w:tcW w:type="dxa" w:w="1928"/>
          </w:tcPr>
          <w:p>
            <w:r/>
            <w:r>
              <w:rPr>
                <w:sz w:val="19"/>
              </w:rPr>
              <w:t>Luôn dùng khi câu cần AI hiểu</w:t>
            </w:r>
          </w:p>
        </w:tc>
      </w:tr>
      <w:tr>
        <w:tc>
          <w:tcPr>
            <w:tcW w:type="dxa" w:w="1474"/>
          </w:tcPr>
          <w:p>
            <w:r/>
            <w:r>
              <w:rPr>
                <w:sz w:val="19"/>
              </w:rPr>
              <w:t>Đề xuất SQL (RAG)</w:t>
            </w:r>
          </w:p>
        </w:tc>
        <w:tc>
          <w:tcPr>
            <w:tcW w:type="dxa" w:w="3628"/>
          </w:tcPr>
          <w:p>
            <w:r/>
            <w:r>
              <w:rPr>
                <w:sz w:val="19"/>
              </w:rPr>
              <w:t>Câu hỏi; phiếu yêu cầu (không có kỳ, nhà máy, khu vực); định nghĩa chỉ số đã duyệt; ánh xạ nguồn; tên bảng và cột được phép theo vai trò; tối đa 2 SQL mẫu</w:t>
            </w:r>
          </w:p>
        </w:tc>
        <w:tc>
          <w:tcPr>
            <w:tcW w:type="dxa" w:w="2381"/>
          </w:tcPr>
          <w:p>
            <w:r/>
            <w:r>
              <w:rPr>
                <w:sz w:val="19"/>
              </w:rPr>
              <w:t>Dòng kết quả; toàn bộ lược đồ</w:t>
            </w:r>
          </w:p>
        </w:tc>
        <w:tc>
          <w:tcPr>
            <w:tcW w:type="dxa" w:w="1928"/>
          </w:tcPr>
          <w:p>
            <w:r/>
            <w:r>
              <w:rPr>
                <w:sz w:val="19"/>
              </w:rPr>
              <w:t>EXTERNAL_METADATA_ENABLED</w:t>
            </w:r>
          </w:p>
        </w:tc>
      </w:tr>
      <w:tr>
        <w:tc>
          <w:tcPr>
            <w:tcW w:type="dxa" w:w="1474"/>
          </w:tcPr>
          <w:p>
            <w:r/>
            <w:r>
              <w:rPr>
                <w:sz w:val="19"/>
              </w:rPr>
              <w:t>Chọn biểu đồ</w:t>
            </w:r>
          </w:p>
        </w:tc>
        <w:tc>
          <w:tcPr>
            <w:tcW w:type="dxa" w:w="3628"/>
          </w:tcPr>
          <w:p>
            <w:r/>
            <w:r>
              <w:rPr>
                <w:sz w:val="19"/>
              </w:rPr>
              <w:t>Câu hỏi; số dòng, tên cột, kiểu cột của kết quả</w:t>
            </w:r>
          </w:p>
        </w:tc>
        <w:tc>
          <w:tcPr>
            <w:tcW w:type="dxa" w:w="2381"/>
          </w:tcPr>
          <w:p>
            <w:r/>
            <w:r>
              <w:rPr>
                <w:sz w:val="19"/>
              </w:rPr>
              <w:t>Giá trị trong kết quả</w:t>
            </w:r>
          </w:p>
        </w:tc>
        <w:tc>
          <w:tcPr>
            <w:tcW w:type="dxa" w:w="1928"/>
          </w:tcPr>
          <w:p>
            <w:r/>
            <w:r>
              <w:rPr>
                <w:sz w:val="19"/>
              </w:rPr>
              <w:t>EXTERNAL_METADATA_ENABLED</w:t>
            </w:r>
          </w:p>
        </w:tc>
      </w:tr>
      <w:tr>
        <w:tc>
          <w:tcPr>
            <w:tcW w:type="dxa" w:w="1474"/>
          </w:tcPr>
          <w:p>
            <w:r/>
            <w:r>
              <w:rPr>
                <w:sz w:val="19"/>
              </w:rPr>
              <w:t>Tóm tắt bằng AI</w:t>
            </w:r>
          </w:p>
        </w:tc>
        <w:tc>
          <w:tcPr>
            <w:tcW w:type="dxa" w:w="3628"/>
          </w:tcPr>
          <w:p>
            <w:r/>
            <w:r>
              <w:rPr>
                <w:sz w:val="19"/>
              </w:rPr>
              <w:t>Dòng kết quả</w:t>
            </w:r>
          </w:p>
        </w:tc>
        <w:tc>
          <w:tcPr>
            <w:tcW w:type="dxa" w:w="2381"/>
          </w:tcPr>
          <w:p>
            <w:r/>
            <w:r>
              <w:rPr>
                <w:sz w:val="19"/>
              </w:rPr>
              <w:t>—</w:t>
            </w:r>
          </w:p>
        </w:tc>
        <w:tc>
          <w:tcPr>
            <w:tcW w:type="dxa" w:w="1928"/>
          </w:tcPr>
          <w:p>
            <w:r/>
            <w:r>
              <w:rPr>
                <w:sz w:val="19"/>
              </w:rPr>
              <w:t>SEND_RESULTS_TO_LLM và EXTERNAL_RESULTS_ENABLED, mặc định tắt</w:t>
            </w:r>
          </w:p>
        </w:tc>
      </w:tr>
      <w:tr>
        <w:tc>
          <w:tcPr>
            <w:tcW w:type="dxa" w:w="1474"/>
          </w:tcPr>
          <w:p>
            <w:r/>
            <w:r>
              <w:rPr>
                <w:sz w:val="19"/>
              </w:rPr>
              <w:t>Chuyển giọng nói</w:t>
            </w:r>
          </w:p>
        </w:tc>
        <w:tc>
          <w:tcPr>
            <w:tcW w:type="dxa" w:w="3628"/>
          </w:tcPr>
          <w:p>
            <w:r/>
            <w:r>
              <w:rPr>
                <w:sz w:val="19"/>
              </w:rPr>
              <w:t>File ghi âm khi người dùng bấm ghi âm</w:t>
            </w:r>
          </w:p>
        </w:tc>
        <w:tc>
          <w:tcPr>
            <w:tcW w:type="dxa" w:w="2381"/>
          </w:tcPr>
          <w:p>
            <w:r/>
            <w:r>
              <w:rPr>
                <w:sz w:val="19"/>
              </w:rPr>
              <w:t>—</w:t>
            </w:r>
          </w:p>
        </w:tc>
        <w:tc>
          <w:tcPr>
            <w:tcW w:type="dxa" w:w="1928"/>
          </w:tcPr>
          <w:p>
            <w:r/>
            <w:r>
              <w:rPr>
                <w:sz w:val="19"/>
              </w:rPr>
              <w:t>Cần khóa dịch vụ giọng nói</w:t>
            </w:r>
          </w:p>
        </w:tc>
      </w:tr>
    </w:tbl>
    <w:p>
      <w:pPr>
        <w:spacing w:after="80"/>
      </w:pPr>
    </w:p>
    <w:p>
      <w:pPr>
        <w:spacing w:after="120" w:line="288" w:lineRule="auto"/>
      </w:pPr>
      <w:r>
        <w:rPr>
          <w:b w:val="0"/>
          <w:i w:val="0"/>
        </w:rPr>
        <w:t>Chưa có và là điều kiện trước khi dùng dữ liệu thật: rà soát điều khoản lưu giữ và huấn luyện của từng nhà cung cấp (đặc biệt gói miễn phí), phân loại dữ liệu theo mức nhạy cảm, che thêm các trường nhạy cảm, kiểm thử xâm nhập độc lập.</w:t>
      </w:r>
    </w:p>
    <w:p>
      <w:pPr>
        <w:pStyle w:val="Heading1"/>
      </w:pPr>
      <w:r>
        <w:t>C. Kiểm tra SQL và xử lý SQL do AI đề xuất (bổ sung mục 8.3)</w:t>
      </w:r>
    </w:p>
    <w:p>
      <w:pPr>
        <w:pStyle w:val="ListBullet"/>
        <w:spacing w:after="40"/>
      </w:pPr>
      <w:r>
        <w:t>Hai đường truy vấn (mẫu và RAG) dùng chung một lớp kiểm tra SQL và một lớp phân quyền; đường mẫu còn phải khớp chính xác câu SQL dựng sẵn.</w:t>
      </w:r>
    </w:p>
    <w:p>
      <w:pPr>
        <w:pStyle w:val="ListBullet"/>
        <w:spacing w:after="40"/>
      </w:pPr>
      <w:r>
        <w:t>Khi SQL do AI đề xuất lệch khuôn đã duyệt (ví dụ ghi ngày cụ thể thay vì tham số, thêm bộ lọc hoặc nối bảng không được phép), lỗi được gửi lại cho AI để sửa tối đa 2 lần. Các lỗi an toàn (ghi dữ liệu, bảng hoặc hàm ngoài danh sách cho phép, vượt phạm vi quyền) không bao giờ được thử lại.</w:t>
      </w:r>
    </w:p>
    <w:p>
      <w:pPr>
        <w:pStyle w:val="ListBullet"/>
        <w:spacing w:after="40"/>
      </w:pPr>
      <w:r>
        <w:t>Ngày trùng đúng kỳ đã tính được đổi thành tham số trước khi kiểm tra; ngày khác vẫn bị từ chối.</w:t>
      </w:r>
    </w:p>
    <w:p>
      <w:pPr>
        <w:pStyle w:val="ListBullet"/>
        <w:spacing w:after="40"/>
      </w:pPr>
      <w:r>
        <w:t>Điều kiện ngày xuất hiện hai lần trong SQL của đường RAG là do lớp phạm vi: lớp này bao bảng nguồn bằng một truy vấn con giới hạn đúng kỳ và quyền của người dùng, rồi truy vấn bên ngoài lọc ngày theo yêu cầu. Hai điều kiện dùng cùng tham số kỳ; đó không phải lỗi.</w:t>
      </w:r>
    </w:p>
    <w:p>
      <w:pPr>
        <w:pStyle w:val="ListBullet"/>
        <w:spacing w:after="40"/>
      </w:pPr>
      <w:r>
        <w:t>Giới hạn dòng: 100 dòng cho danh sách thông thường, 250 cho biểu đồ chồng, 400 cho nhóm theo ngày, tuần, tháng (đủ một năm có 366 ngày). Kết quả chạm giới hạn mà người dùng không xin top N sẽ kèm thông báo chỉ hiển thị các dòng đầu.</w:t>
      </w:r>
    </w:p>
    <w:p>
      <w:pPr>
        <w:pStyle w:val="ListBullet"/>
        <w:spacing w:after="40"/>
      </w:pPr>
      <w:r>
        <w:t>Hỏi so sánh hai nhà máy chỉ hiển thị hai nhà máy được nêu và ghi rõ phần chưa gồm (ví dụ nhóm chưa gán nhà máy) cùng giá trị của nó.</w:t>
      </w:r>
    </w:p>
    <w:p>
      <w:pPr>
        <w:pStyle w:val="ListBullet"/>
        <w:spacing w:after="40"/>
      </w:pPr>
      <w:r>
        <w:t>Yêu cầu bị từ chối được quyết định trước khi tới kho dữ liệu; có kiểm thử tự động chứng minh hàm truy vấn kho không được gọi khi bị từ chối (vai trò kinh doanh, sản xuất, quản trị IT).</w:t>
      </w:r>
    </w:p>
    <w:p>
      <w:pPr>
        <w:pStyle w:val="Heading1"/>
      </w:pPr>
      <w:r>
        <w:t>D. Ngữ cảnh hội thoại (bổ sung mục 8.4)</w:t>
      </w:r>
    </w:p>
    <w:p>
      <w:pPr>
        <w:pStyle w:val="ListBullet"/>
        <w:spacing w:after="40"/>
      </w:pPr>
      <w:r>
        <w:t>Ngữ cảnh gửi cho AI gồm tối đa 6 lượt gần nhất; số tiền và tỷ lệ trong câu trả lời trước được thay bằng [số], chỉ giữ tên và ngày để giải quyết các cách nói như 'khu vực đứng đầu'.</w:t>
      </w:r>
    </w:p>
    <w:p>
      <w:pPr>
        <w:pStyle w:val="ListBullet"/>
        <w:spacing w:after="40"/>
      </w:pPr>
      <w:r>
        <w:t>Kỳ do AI chọn được kiểm tra lại bằng kỳ nêu trong câu hỏi: nếu câu nêu đúng một năm, quý hoặc tháng mà AI trả kỳ khác thì dùng kỳ trong câu; nếu câu không có từ nào về thời gian và không có kỳ trước đó để kế thừa thì hệ thống hỏi lại thay vì đoán.</w:t>
      </w:r>
    </w:p>
    <w:p>
      <w:pPr>
        <w:pStyle w:val="ListBullet"/>
        <w:spacing w:after="40"/>
      </w:pPr>
      <w:r>
        <w:t>Chỉ có từ chỉ tương lai (dự báo, dự đoán, tháng tới, next...) mới được xử lý như dự báo, bất kể AI gán nhãn gì cho câu hỏi mới.</w:t>
      </w:r>
    </w:p>
    <w:p>
      <w:pPr>
        <w:pStyle w:val="ListBullet"/>
        <w:spacing w:after="40"/>
      </w:pPr>
      <w:r>
        <w:t>Nhà máy do người dùng gọi tên luôn là bộ lọc, kể cả khi AI bỏ sót.</w:t>
      </w:r>
    </w:p>
    <w:p>
      <w:pPr>
        <w:pStyle w:val="Heading1"/>
      </w:pPr>
      <w:r>
        <w:t>E. Nhà cung cấp AI và độ ổn định (bổ sung mục 8.6, 9.2)</w:t>
      </w:r>
    </w:p>
    <w:p>
      <w:pPr>
        <w:pStyle w:val="ListBullet"/>
        <w:spacing w:after="40"/>
      </w:pPr>
      <w:r>
        <w:t>Nhiều nhà cung cấp và nhiều khóa được thử lần lượt theo thứ tự cấu hình; khóa lỗi nghỉ theo nguyên nhân (hết hạn mức ngày: 1 giờ; giới hạn tốc độ: theo thời gian nhà cung cấp báo; lỗi máy chủ: 30 giây).</w:t>
      </w:r>
    </w:p>
    <w:p>
      <w:pPr>
        <w:pStyle w:val="ListBullet"/>
        <w:spacing w:after="40"/>
      </w:pPr>
      <w:r>
        <w:t>Mọi trường hợp nhà cung cấp trả mã giới hạn (429 hoặc 403 có chữ limit) hoặc quá tải (5xx) đều được báo cho người dùng là 'AI đang bận, thử lại sau', không bao giờ trả kết quả sai.</w:t>
      </w:r>
    </w:p>
    <w:p>
      <w:pPr>
        <w:pStyle w:val="ListBullet"/>
        <w:spacing w:after="40"/>
      </w:pPr>
      <w:r>
        <w:t>Giao diện có ô chọn AI: tự động hoặc một nhà cụ thể; nhà được chọn trả lời một mình. Trang hiển thị nhà nào đang nghỉ, còn bao lâu, và nút Kiểm tra gửi yêu cầu nhỏ để biết nhà đó dùng được không.</w:t>
      </w:r>
    </w:p>
    <w:p>
      <w:pPr>
        <w:pStyle w:val="ListBullet"/>
        <w:spacing w:after="40"/>
      </w:pPr>
      <w:r>
        <w:t>Có thể chạy mô hình trên máy nội bộ qua Ollama (tùy chọn). Thử với mô hình 7 tỷ tham số trên GPU 4GB: mỗi lời gọi 17 đến 35 giây, chất lượng kém hơn rõ (câu khó 88/90, so sánh 43/47) so với Gemini (90/90, 47/47).</w:t>
      </w:r>
    </w:p>
    <w:p>
      <w:pPr>
        <w:pStyle w:val="Heading1"/>
      </w:pPr>
      <w:r>
        <w:t>F. Triển khai (bổ sung mục 7)</w:t>
      </w:r>
    </w:p>
    <w:p>
      <w:pPr>
        <w:spacing w:after="120" w:line="288" w:lineRule="auto"/>
      </w:pPr>
      <w:r>
        <w:rPr>
          <w:b w:val="0"/>
          <w:i w:val="0"/>
        </w:rPr>
        <w:t>Có hai hình thức triển khai. Bản đề xuất: Docker Compose ba container (web, backend, cơ sở dữ liệu ứng dụng) trên một máy chủ. Bản demo hiện tại: Vercel (giao diện và backend dạng hàm), PostgreSQL trên Neon, dịch vụ AI bên ngoài; trạng thái nghỉ của khóa AI được ghi nhớ theo từng instance nên nút Kiểm tra mới phản ánh đúng. Dịch vụ giọng nói chưa bật trên bản demo.</w:t>
      </w:r>
    </w:p>
    <w:p>
      <w:pPr>
        <w:pStyle w:val="Heading1"/>
      </w:pPr>
      <w:r>
        <w:t>G. Chất lượng và kiểm thử (bổ sung mục 10.2)</w:t>
      </w:r>
    </w:p>
    <w:p>
      <w:pPr>
        <w:spacing w:after="120" w:line="288" w:lineRule="auto"/>
      </w:pPr>
      <w:r>
        <w:rPr>
          <w:b w:val="0"/>
          <w:i w:val="0"/>
        </w:rPr>
        <w:t>Phương pháp: mỗi ca kiểm thử là một câu hỏi (hoặc chuỗi câu nối tiếp) gửi qua giao diện lập trình của chính trang web bằng tài khoản thật theo vai trò, kèm điều kiện đạt. Mọi con số trong câu trả lời có bảng được tính lại bằng một câu SQL độc lập, chỉ đọc, trực tiếp trên kho dữ liệu (không dùng bộ dựng truy vấn của ứng dụng), so từng dòng. Ca báo AI bận được chạy lại cho đến khi không còn báo bận; kết quả lần chạy đầu được giữ riêng.</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1F4E3D"/>
          </w:tcPr>
          <w:p>
            <w:r/>
            <w:r>
              <w:rPr>
                <w:b/>
                <w:color w:val="FFFFFF"/>
                <w:sz w:val="19"/>
              </w:rPr>
              <w:t>Bộ</w:t>
            </w:r>
          </w:p>
        </w:tc>
        <w:tc>
          <w:tcPr>
            <w:tcW w:type="dxa" w:w="1134"/>
            <w:shd w:val="clear" w:color="auto" w:fill="1F4E3D"/>
          </w:tcPr>
          <w:p>
            <w:r/>
            <w:r>
              <w:rPr>
                <w:b/>
                <w:color w:val="FFFFFF"/>
                <w:sz w:val="19"/>
              </w:rPr>
              <w:t>Số ca</w:t>
            </w:r>
          </w:p>
        </w:tc>
        <w:tc>
          <w:tcPr>
            <w:tcW w:type="dxa" w:w="6520"/>
            <w:shd w:val="clear" w:color="auto" w:fill="1F4E3D"/>
          </w:tcPr>
          <w:p>
            <w:r/>
            <w:r>
              <w:rPr>
                <w:b/>
                <w:color w:val="FFFFFF"/>
                <w:sz w:val="19"/>
              </w:rPr>
              <w:t>Nội dung</w:t>
            </w:r>
          </w:p>
        </w:tc>
      </w:tr>
      <w:tr>
        <w:tc>
          <w:tcPr>
            <w:tcW w:type="dxa" w:w="1814"/>
          </w:tcPr>
          <w:p>
            <w:r/>
            <w:r>
              <w:rPr>
                <w:sz w:val="19"/>
              </w:rPr>
              <w:t>RAG</w:t>
            </w:r>
          </w:p>
        </w:tc>
        <w:tc>
          <w:tcPr>
            <w:tcW w:type="dxa" w:w="1134"/>
          </w:tcPr>
          <w:p>
            <w:r/>
            <w:r>
              <w:rPr>
                <w:sz w:val="19"/>
              </w:rPr>
              <w:t>24</w:t>
            </w:r>
          </w:p>
        </w:tc>
        <w:tc>
          <w:tcPr>
            <w:tcW w:type="dxa" w:w="6520"/>
          </w:tcPr>
          <w:p>
            <w:r/>
            <w:r>
              <w:rPr>
                <w:sz w:val="19"/>
              </w:rPr>
              <w:t>Câu theo tuần, ngày, theo nhà máy, đủ vai trò; đối chiếu từng mốc</w:t>
            </w:r>
          </w:p>
        </w:tc>
      </w:tr>
      <w:tr>
        <w:tc>
          <w:tcPr>
            <w:tcW w:type="dxa" w:w="1814"/>
          </w:tcPr>
          <w:p>
            <w:r/>
            <w:r>
              <w:rPr>
                <w:sz w:val="19"/>
              </w:rPr>
              <w:t>Hard</w:t>
            </w:r>
          </w:p>
        </w:tc>
        <w:tc>
          <w:tcPr>
            <w:tcW w:type="dxa" w:w="1134"/>
          </w:tcPr>
          <w:p>
            <w:r/>
            <w:r>
              <w:rPr>
                <w:sz w:val="19"/>
              </w:rPr>
              <w:t>90</w:t>
            </w:r>
          </w:p>
        </w:tc>
        <w:tc>
          <w:tcPr>
            <w:tcW w:type="dxa" w:w="6520"/>
          </w:tcPr>
          <w:p>
            <w:r/>
            <w:r>
              <w:rPr>
                <w:sz w:val="19"/>
              </w:rPr>
              <w:t>Bẫy ảo giác, nhiều ràng buộc, 4 vai trò, cách hỏi biến thể, hội thoại nhiều lượt</w:t>
            </w:r>
          </w:p>
        </w:tc>
      </w:tr>
      <w:tr>
        <w:tc>
          <w:tcPr>
            <w:tcW w:type="dxa" w:w="1814"/>
          </w:tcPr>
          <w:p>
            <w:r/>
            <w:r>
              <w:rPr>
                <w:sz w:val="19"/>
              </w:rPr>
              <w:t>Compare</w:t>
            </w:r>
          </w:p>
        </w:tc>
        <w:tc>
          <w:tcPr>
            <w:tcW w:type="dxa" w:w="1134"/>
          </w:tcPr>
          <w:p>
            <w:r/>
            <w:r>
              <w:rPr>
                <w:sz w:val="19"/>
              </w:rPr>
              <w:t>47</w:t>
            </w:r>
          </w:p>
        </w:tc>
        <w:tc>
          <w:tcPr>
            <w:tcW w:type="dxa" w:w="6520"/>
          </w:tcPr>
          <w:p>
            <w:r/>
            <w:r>
              <w:rPr>
                <w:sz w:val="19"/>
              </w:rPr>
              <w:t>So sánh kỳ, tin nhắn nhiều yêu cầu</w:t>
            </w:r>
          </w:p>
        </w:tc>
      </w:tr>
      <w:tr>
        <w:tc>
          <w:tcPr>
            <w:tcW w:type="dxa" w:w="1814"/>
          </w:tcPr>
          <w:p>
            <w:r/>
            <w:r>
              <w:rPr>
                <w:sz w:val="19"/>
              </w:rPr>
              <w:t>Phân quyền</w:t>
            </w:r>
          </w:p>
        </w:tc>
        <w:tc>
          <w:tcPr>
            <w:tcW w:type="dxa" w:w="1134"/>
          </w:tcPr>
          <w:p>
            <w:r/>
            <w:r>
              <w:rPr>
                <w:sz w:val="19"/>
              </w:rPr>
              <w:t>48</w:t>
            </w:r>
          </w:p>
        </w:tc>
        <w:tc>
          <w:tcPr>
            <w:tcW w:type="dxa" w:w="6520"/>
          </w:tcPr>
          <w:p>
            <w:r/>
            <w:r>
              <w:rPr>
                <w:sz w:val="19"/>
              </w:rPr>
              <w:t>4 vai trò x 12 câu trên đường mẫu, RAG, dự báo, tấn công; bị từ chối thì không có dòng dữ liệu</w:t>
            </w:r>
          </w:p>
        </w:tc>
      </w:tr>
      <w:tr>
        <w:tc>
          <w:tcPr>
            <w:tcW w:type="dxa" w:w="1814"/>
          </w:tcPr>
          <w:p>
            <w:r/>
            <w:r>
              <w:rPr>
                <w:sz w:val="19"/>
              </w:rPr>
              <w:t>Tự động (pytest)</w:t>
            </w:r>
          </w:p>
        </w:tc>
        <w:tc>
          <w:tcPr>
            <w:tcW w:type="dxa" w:w="1134"/>
          </w:tcPr>
          <w:p>
            <w:r/>
            <w:r>
              <w:rPr>
                <w:sz w:val="19"/>
              </w:rPr>
              <w:t>287</w:t>
            </w:r>
          </w:p>
        </w:tc>
        <w:tc>
          <w:tcPr>
            <w:tcW w:type="dxa" w:w="6520"/>
          </w:tcPr>
          <w:p>
            <w:r/>
            <w:r>
              <w:rPr>
                <w:sz w:val="19"/>
              </w:rPr>
              <w:t>Truy vấn, phân quyền, dự báo, hội thoại</w:t>
            </w:r>
          </w:p>
        </w:tc>
      </w:tr>
    </w:tbl>
    <w:p>
      <w:pPr>
        <w:spacing w:after="80"/>
      </w:pPr>
    </w:p>
    <w:p>
      <w:pPr>
        <w:spacing w:after="120" w:line="288" w:lineRule="auto"/>
      </w:pPr>
      <w:r>
        <w:rPr>
          <w:b w:val="0"/>
          <w:i w:val="0"/>
        </w:rPr>
        <w:t>Hiệu năng (QS7): đo với 5 người dùng đồng thời, mỗi người 12 câu: 39/60 câu trả lời được (65%), 63% hoàn tất dưới 15 giây, thấp hơn mục tiêu 95%. Mọi lỗi do nhà cung cấp AI miễn phí giới hạn tốc độ (HTTP 429); câu không cần AI trả lời trong khoảng 0,3 giây. Cần đo lại với gói AI trả phí.</w:t>
      </w:r>
    </w:p>
    <w:p>
      <w:pPr>
        <w:spacing w:after="120" w:line="288" w:lineRule="auto"/>
      </w:pPr>
      <w:r>
        <w:rPr>
          <w:b w:val="0"/>
          <w:i w:val="0"/>
        </w:rPr>
        <w:t>Hạn chế đã biết: chưa pentest độc lập; chưa kiểm thử giọng nói trong môi trường thật và giao diện điện thoại; dữ liệu là dữ liệu mẫu; một số chiều phân tích (sản phẩm, ngành hàng, dây chuyền, lý do phế phẩm, tăng trưởng) chưa có truy vấn đối chiếu độc lập (xem báo cáo kiểm thử, sheet Đối chiếu độc lập).</w:t>
      </w:r>
    </w:p>
    <w:p>
      <w:pPr>
        <w:pStyle w:val="Heading1"/>
      </w:pPr>
      <w:r>
        <w:t>H. Chi phí vận hành ước tính (bổ sung mục 7 và 11)</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val="clear" w:color="auto" w:fill="1F4E3D"/>
          </w:tcPr>
          <w:p>
            <w:r/>
            <w:r>
              <w:rPr>
                <w:b/>
                <w:color w:val="FFFFFF"/>
                <w:sz w:val="19"/>
              </w:rPr>
              <w:t>Hướng</w:t>
            </w:r>
          </w:p>
        </w:tc>
        <w:tc>
          <w:tcPr>
            <w:tcW w:type="dxa" w:w="3288"/>
            <w:shd w:val="clear" w:color="auto" w:fill="1F4E3D"/>
          </w:tcPr>
          <w:p>
            <w:r/>
            <w:r>
              <w:rPr>
                <w:b/>
                <w:color w:val="FFFFFF"/>
                <w:sz w:val="19"/>
              </w:rPr>
              <w:t>Chi phí ước tính</w:t>
            </w:r>
          </w:p>
        </w:tc>
        <w:tc>
          <w:tcPr>
            <w:tcW w:type="dxa" w:w="3798"/>
            <w:shd w:val="clear" w:color="auto" w:fill="1F4E3D"/>
          </w:tcPr>
          <w:p>
            <w:r/>
            <w:r>
              <w:rPr>
                <w:b/>
                <w:color w:val="FFFFFF"/>
                <w:sz w:val="19"/>
              </w:rPr>
              <w:t>Ghi chú</w:t>
            </w:r>
          </w:p>
        </w:tc>
      </w:tr>
      <w:tr>
        <w:tc>
          <w:tcPr>
            <w:tcW w:type="dxa" w:w="2381"/>
          </w:tcPr>
          <w:p>
            <w:r/>
            <w:r>
              <w:rPr>
                <w:sz w:val="19"/>
              </w:rPr>
              <w:t>API Claude Haiku 5.5</w:t>
            </w:r>
          </w:p>
        </w:tc>
        <w:tc>
          <w:tcPr>
            <w:tcW w:type="dxa" w:w="3288"/>
          </w:tcPr>
          <w:p>
            <w:r/>
            <w:r>
              <w:rPr>
                <w:sz w:val="19"/>
              </w:rPr>
              <w:t>khoảng 4 USD (5.000 câu), 16 USD (20.000), 79 USD (100.000) mỗi tháng</w:t>
            </w:r>
          </w:p>
        </w:tc>
        <w:tc>
          <w:tcPr>
            <w:tcW w:type="dxa" w:w="3798"/>
          </w:tcPr>
          <w:p>
            <w:r/>
            <w:r>
              <w:rPr>
                <w:sz w:val="19"/>
              </w:rPr>
              <w:t>Kịch bản xấu: mọi câu đều gọi AI; token đo trên lời nhắc thật rồi nhân 1,3; chưa chạy bộ kiểm thử trên Claude</w:t>
            </w:r>
          </w:p>
        </w:tc>
      </w:tr>
      <w:tr>
        <w:tc>
          <w:tcPr>
            <w:tcW w:type="dxa" w:w="2381"/>
          </w:tcPr>
          <w:p>
            <w:r/>
            <w:r>
              <w:rPr>
                <w:sz w:val="19"/>
              </w:rPr>
              <w:t>API Claude Sonnet 5.5</w:t>
            </w:r>
          </w:p>
        </w:tc>
        <w:tc>
          <w:tcPr>
            <w:tcW w:type="dxa" w:w="3288"/>
          </w:tcPr>
          <w:p>
            <w:r/>
            <w:r>
              <w:rPr>
                <w:sz w:val="19"/>
              </w:rPr>
              <w:t>khoảng 20 lần Haiku</w:t>
            </w:r>
          </w:p>
        </w:tc>
        <w:tc>
          <w:tcPr>
            <w:tcW w:type="dxa" w:w="3798"/>
          </w:tcPr>
          <w:p>
            <w:r/>
            <w:r>
              <w:rPr>
                <w:sz w:val="19"/>
              </w:rPr>
              <w:t>Chỉ dùng nếu Haiku chưa đủ chất lượng</w:t>
            </w:r>
          </w:p>
        </w:tc>
      </w:tr>
      <w:tr>
        <w:tc>
          <w:tcPr>
            <w:tcW w:type="dxa" w:w="2381"/>
          </w:tcPr>
          <w:p>
            <w:r/>
            <w:r>
              <w:rPr>
                <w:sz w:val="19"/>
              </w:rPr>
              <w:t>Máy chủ GPU chạy mô hình offline</w:t>
            </w:r>
          </w:p>
        </w:tc>
        <w:tc>
          <w:tcPr>
            <w:tcW w:type="dxa" w:w="3288"/>
          </w:tcPr>
          <w:p>
            <w:r/>
            <w:r>
              <w:rPr>
                <w:sz w:val="19"/>
              </w:rPr>
              <w:t>khoảng 200 đến 500 USD mỗi tháng cố định</w:t>
            </w:r>
          </w:p>
        </w:tc>
        <w:tc>
          <w:tcPr>
            <w:tcW w:type="dxa" w:w="3798"/>
          </w:tcPr>
          <w:p>
            <w:r/>
            <w:r>
              <w:rPr>
                <w:sz w:val="19"/>
              </w:rPr>
              <w:t>Hetzner GEX44 184 euro/tháng; thuê RTX 4090 theo giờ 0,34 đến 0,69 USD; chưa gồm nhân sự</w:t>
            </w:r>
          </w:p>
        </w:tc>
      </w:tr>
      <w:tr>
        <w:tc>
          <w:tcPr>
            <w:tcW w:type="dxa" w:w="2381"/>
          </w:tcPr>
          <w:p>
            <w:r/>
            <w:r>
              <w:rPr>
                <w:sz w:val="19"/>
              </w:rPr>
              <w:t>Điểm hòa vốn</w:t>
            </w:r>
          </w:p>
        </w:tc>
        <w:tc>
          <w:tcPr>
            <w:tcW w:type="dxa" w:w="3288"/>
          </w:tcPr>
          <w:p>
            <w:r/>
            <w:r>
              <w:rPr>
                <w:sz w:val="19"/>
              </w:rPr>
              <w:t>khoảng 250.000 câu mỗi tháng</w:t>
            </w:r>
          </w:p>
        </w:tc>
        <w:tc>
          <w:tcPr>
            <w:tcW w:type="dxa" w:w="3798"/>
          </w:tcPr>
          <w:p>
            <w:r/>
            <w:r>
              <w:rPr>
                <w:sz w:val="19"/>
              </w:rPr>
              <w:t>Dưới mức này API rẻ hơn máy chủ riêng</w:t>
            </w:r>
          </w:p>
        </w:tc>
      </w:tr>
    </w:tbl>
    <w:p>
      <w:pPr>
        <w:spacing w:after="80"/>
      </w:pPr>
    </w:p>
    <w:p>
      <w:pPr>
        <w:spacing w:after="120" w:line="288" w:lineRule="auto"/>
      </w:pPr>
      <w:r>
        <w:rPr>
          <w:b w:val="0"/>
          <w:i/>
        </w:rPr>
        <w:t>Chi phí nhân sự vận hành: [chưa có ước tính, cần điền]. Giá API và giá máy chủ cần xác nhận lại trước khi quyết định.</w:t>
      </w:r>
    </w:p>
    <w:p>
      <w:pPr>
        <w:pStyle w:val="Heading1"/>
      </w:pPr>
      <w:r>
        <w:t>I. Rủi ro cập nhật (bổ sung mục 11)</w:t>
      </w:r>
    </w:p>
    <w:p>
      <w:pPr>
        <w:pStyle w:val="ListBullet"/>
        <w:spacing w:after="40"/>
      </w:pPr>
      <w:r>
        <w:t>Phụ thuộc hạn mức dịch vụ AI: ảnh hưởng hiệu năng nhiều người dùng đồng thời; giảm thiểu bằng gói trả phí, nhiều nhà cung cấp, báo bận rõ ràng.</w:t>
      </w:r>
    </w:p>
    <w:p>
      <w:pPr>
        <w:pStyle w:val="ListBullet"/>
        <w:spacing w:after="40"/>
      </w:pPr>
      <w:r>
        <w:t>Dữ liệu gửi ra dịch vụ AI: giảm thiểu bằng việc chỉ gửi câu hỏi và mô tả chỉ số, thay số tiền trong ngữ cảnh; còn thiếu rà soát điều khoản nhà cung cấp và phân loại dữ liệu.</w:t>
      </w:r>
    </w:p>
    <w:p>
      <w:pPr>
        <w:pStyle w:val="ListBullet"/>
        <w:spacing w:after="40"/>
      </w:pPr>
      <w:r>
        <w:t>Độ chính xác của dự báo: chỉ tương đương phương pháp đơn giản trên dữ liệu mẫu; giảm thiểu bằng nhãn, khoảng tin cậy và cơ chế từ chối; cần dữ liệu thật.</w:t>
      </w:r>
    </w:p>
    <w:p>
      <w:pPr>
        <w:pStyle w:val="ListBullet"/>
        <w:spacing w:after="40"/>
      </w:pPr>
      <w:r>
        <w:t>Bằng chứng kiểm thử phụ thuộc môi trường demo và dữ liệu mẫu; cần lặp lại trên dữ liệu thật trước khi sản xuất.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421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