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04589950" w14:textId="77777777" w:rsidR="00C654B6" w:rsidRDefault="00C654B6" w:rsidP="00773088">
      <w:pPr>
        <w:pStyle w:val="Heading2"/>
        <w:rPr>
          <w:rFonts w:ascii="Arial" w:eastAsiaTheme="minorEastAsia" w:hAnsi="Arial" w:cstheme="minorBidi"/>
          <w:color w:val="auto"/>
          <w:sz w:val="22"/>
          <w:szCs w:val="22"/>
        </w:rPr>
      </w:pPr>
      <w:bookmarkStart w:id="8" w:name="_Toc240609469"/>
      <w:r w:rsidRPr="00C654B6">
        <w:rPr>
          <w:rFonts w:ascii="Arial" w:eastAsiaTheme="minorEastAsia" w:hAnsi="Arial" w:cstheme="minorBidi"/>
          <w:color w:val="auto"/>
          <w:sz w:val="22"/>
          <w:szCs w:val="22"/>
        </w:rPr>
        <w:t>Business Definition Constraints</w:t>
      </w:r>
      <w:bookmarkEnd w:id="8"/>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AI service has no access path to the data warehouse, but information does leave the system. The table lists exactly what each external call carries and which setting controls it.</w:t>
      </w:r>
    </w:p>
    <w:tbl>
      <w:tblPr>
        <w:tblStyle w:val="TableGrid"/>
        <w:tblW w:w="10150" w:type="dxa"/>
        <w:jc w:val="center"/>
        <w:tblLook w:val="04A0" w:firstRow="1" w:lastRow="0" w:firstColumn="1" w:lastColumn="0" w:noHBand="0" w:noVBand="1"/>
      </w:tblPr>
      <w:tblGrid>
        <w:gridCol w:w="1700"/>
        <w:gridCol w:w="3900"/>
        <w:gridCol w:w="2300"/>
        <w:gridCol w:w="2250"/>
      </w:tblGrid>
      <w:tr>
        <w:trPr>
          <w:tblHeader/>
          <w:jc w:val="center"/>
        </w:trPr>
        <w:tc>
          <w:tcPr>
            <w:tcW w:w="1700" w:type="dxa"/>
            <w:shd w:val="clear" w:color="auto" w:fill="D9EAF7"/>
          </w:tcPr>
          <w:p>
            <w:pPr>
              <w:spacing w:after="0"/>
            </w:pPr>
            <w:r>
              <w:rPr>
                <w:b/>
                <w:bCs/>
                <w:sz w:val="20"/>
              </w:rPr>
              <w:t xml:space="preserve">Call</w:t>
            </w:r>
          </w:p>
        </w:tc>
        <w:tc>
          <w:tcPr>
            <w:tcW w:w="3900" w:type="dxa"/>
            <w:shd w:val="clear" w:color="auto" w:fill="D9EAF7"/>
          </w:tcPr>
          <w:p>
            <w:pPr>
              <w:spacing w:after="0"/>
            </w:pPr>
            <w:r>
              <w:rPr>
                <w:b/>
                <w:bCs/>
                <w:sz w:val="20"/>
              </w:rPr>
              <w:t xml:space="preserve">Content sent</w:t>
            </w:r>
          </w:p>
        </w:tc>
        <w:tc>
          <w:tcPr>
            <w:tcW w:w="2300" w:type="dxa"/>
            <w:shd w:val="clear" w:color="auto" w:fill="D9EAF7"/>
          </w:tcPr>
          <w:p>
            <w:pPr>
              <w:spacing w:after="0"/>
            </w:pPr>
            <w:r>
              <w:rPr>
                <w:b/>
                <w:bCs/>
                <w:sz w:val="20"/>
              </w:rPr>
              <w:t xml:space="preserve">Not sent</w:t>
            </w:r>
          </w:p>
        </w:tc>
        <w:tc>
          <w:tcPr>
            <w:tcW w:w="2250"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3900" w:type="dxa"/>
          </w:tcPr>
          <w:p>
            <w:pPr>
              <w:spacing w:after="0"/>
            </w:pPr>
            <w:r>
              <w:rPr>
                <w:sz w:val="18"/>
              </w:rPr>
              <w:t xml:space="preserve">The question (up to 1,000 characters); the data date; the approved catalogue of metrics, dimensions, territory and factory names; the previous request slots; up to 6 recent turns with amounts and ratios replaced by [number]</w:t>
            </w:r>
          </w:p>
        </w:tc>
        <w:tc>
          <w:tcPr>
            <w:tcW w:w="2300" w:type="dxa"/>
          </w:tcPr>
          <w:p>
            <w:pPr>
              <w:spacing w:after="0"/>
            </w:pPr>
            <w:r>
              <w:rPr>
                <w:sz w:val="18"/>
              </w:rPr>
              <w:t xml:space="preserve">Result rows; amounts of the previous answer; passwords, keys, roles, user identifiers</w:t>
            </w:r>
          </w:p>
        </w:tc>
        <w:tc>
          <w:tcPr>
            <w:tcW w:w="2250" w:type="dxa"/>
          </w:tcPr>
          <w:p>
            <w:pPr>
              <w:spacing w:after="0"/>
            </w:pPr>
            <w:r>
              <w:rPr>
                <w:sz w:val="18"/>
              </w:rPr>
              <w:t xml:space="preserve">Used whenever the dictionary cannot resolve the question</w:t>
            </w:r>
          </w:p>
        </w:tc>
      </w:tr>
      <w:tr>
        <w:trPr>
          <w:jc w:val="center"/>
        </w:trPr>
        <w:tc>
          <w:tcPr>
            <w:tcW w:w="1700" w:type="dxa"/>
          </w:tcPr>
          <w:p>
            <w:pPr>
              <w:spacing w:after="0"/>
            </w:pPr>
            <w:r>
              <w:rPr>
                <w:sz w:val="18"/>
              </w:rPr>
              <w:t xml:space="preserve">SQL proposal (RAG)</w:t>
            </w:r>
          </w:p>
        </w:tc>
        <w:tc>
          <w:tcPr>
            <w:tcW w:w="3900" w:type="dxa"/>
          </w:tcPr>
          <w:p>
            <w:pPr>
              <w:spacing w:after="0"/>
            </w:pPr>
            <w:r>
              <w:rPr>
                <w:sz w:val="18"/>
              </w:rPr>
              <w:t xml:space="preserve">The question; the request slots (without period, factory or territory); approved metric definitions; source mappings; table and column names permitted for the role; at most 2 example SQL statements</w:t>
            </w:r>
          </w:p>
        </w:tc>
        <w:tc>
          <w:tcPr>
            <w:tcW w:w="2300" w:type="dxa"/>
          </w:tcPr>
          <w:p>
            <w:pPr>
              <w:spacing w:after="0"/>
            </w:pPr>
            <w:r>
              <w:rPr>
                <w:sz w:val="18"/>
              </w:rPr>
              <w:t xml:space="preserve">Result rows; the full schema</w:t>
            </w:r>
          </w:p>
        </w:tc>
        <w:tc>
          <w:tcPr>
            <w:tcW w:w="2250" w:type="dxa"/>
          </w:tcPr>
          <w:p>
            <w:pPr>
              <w:spacing w:after="0"/>
            </w:pPr>
            <w:r>
              <w:rPr>
                <w:sz w:val="18"/>
              </w:rPr>
              <w:t xml:space="preserve">EXTERNAL_METADATA_ENABLED</w:t>
            </w:r>
          </w:p>
        </w:tc>
      </w:tr>
      <w:tr>
        <w:trPr>
          <w:jc w:val="center"/>
        </w:trPr>
        <w:tc>
          <w:tcPr>
            <w:tcW w:w="1700" w:type="dxa"/>
          </w:tcPr>
          <w:p>
            <w:pPr>
              <w:spacing w:after="0"/>
            </w:pPr>
            <w:r>
              <w:rPr>
                <w:sz w:val="18"/>
              </w:rPr>
              <w:t xml:space="preserve">Chart selection</w:t>
            </w:r>
          </w:p>
        </w:tc>
        <w:tc>
          <w:tcPr>
            <w:tcW w:w="3900" w:type="dxa"/>
          </w:tcPr>
          <w:p>
            <w:pPr>
              <w:spacing w:after="0"/>
            </w:pPr>
            <w:r>
              <w:rPr>
                <w:sz w:val="18"/>
              </w:rPr>
              <w:t xml:space="preserve">The question; the number of rows, column names and column types</w:t>
            </w:r>
          </w:p>
        </w:tc>
        <w:tc>
          <w:tcPr>
            <w:tcW w:w="2300" w:type="dxa"/>
          </w:tcPr>
          <w:p>
            <w:pPr>
              <w:spacing w:after="0"/>
            </w:pPr>
            <w:r>
              <w:rPr>
                <w:sz w:val="18"/>
              </w:rPr>
              <w:t xml:space="preserve">Values in the result</w:t>
            </w:r>
          </w:p>
        </w:tc>
        <w:tc>
          <w:tcPr>
            <w:tcW w:w="2250" w:type="dxa"/>
          </w:tcPr>
          <w:p>
            <w:pPr>
              <w:spacing w:after="0"/>
            </w:pPr>
            <w:r>
              <w:rPr>
                <w:sz w:val="18"/>
              </w:rPr>
              <w:t xml:space="preserve">EXTERNAL_METADATA_ENABLED</w:t>
            </w:r>
          </w:p>
        </w:tc>
      </w:tr>
      <w:tr>
        <w:trPr>
          <w:jc w:val="center"/>
        </w:trPr>
        <w:tc>
          <w:tcPr>
            <w:tcW w:w="1700" w:type="dxa"/>
          </w:tcPr>
          <w:p>
            <w:pPr>
              <w:spacing w:after="0"/>
            </w:pPr>
            <w:r>
              <w:rPr>
                <w:sz w:val="18"/>
              </w:rPr>
              <w:t xml:space="preserve">AI summary</w:t>
            </w:r>
          </w:p>
        </w:tc>
        <w:tc>
          <w:tcPr>
            <w:tcW w:w="3900" w:type="dxa"/>
          </w:tcPr>
          <w:p>
            <w:pPr>
              <w:spacing w:after="0"/>
            </w:pPr>
            <w:r>
              <w:rPr>
                <w:sz w:val="18"/>
              </w:rPr>
              <w:t xml:space="preserve">Result rows</w:t>
            </w:r>
          </w:p>
        </w:tc>
        <w:tc>
          <w:tcPr>
            <w:tcW w:w="2300" w:type="dxa"/>
          </w:tcPr>
          <w:p>
            <w:pPr>
              <w:spacing w:after="0"/>
            </w:pPr>
            <w:r>
              <w:rPr>
                <w:sz w:val="18"/>
              </w:rPr>
              <w:t xml:space="preserve">-</w:t>
            </w:r>
          </w:p>
        </w:tc>
        <w:tc>
          <w:tcPr>
            <w:tcW w:w="2250" w:type="dxa"/>
          </w:tcPr>
          <w:p>
            <w:pPr>
              <w:spacing w:after="0"/>
            </w:pPr>
            <w:r>
              <w:rPr>
                <w:sz w:val="18"/>
              </w:rPr>
              <w:t xml:space="preserve">SEND_RESULTS_TO_LLM and EXTERNAL_RESULTS_ENABLED, off by default</w:t>
            </w:r>
          </w:p>
        </w:tc>
      </w:tr>
      <w:tr>
        <w:trPr>
          <w:jc w:val="center"/>
        </w:trPr>
        <w:tc>
          <w:tcPr>
            <w:tcW w:w="1700" w:type="dxa"/>
          </w:tcPr>
          <w:p>
            <w:pPr>
              <w:spacing w:after="0"/>
            </w:pPr>
            <w:r>
              <w:rPr>
                <w:sz w:val="18"/>
              </w:rPr>
              <w:t xml:space="preserve">Speech-to-text</w:t>
            </w:r>
          </w:p>
        </w:tc>
        <w:tc>
          <w:tcPr>
            <w:tcW w:w="3900" w:type="dxa"/>
          </w:tcPr>
          <w:p>
            <w:pPr>
              <w:spacing w:after="0"/>
            </w:pPr>
            <w:r>
              <w:rPr>
                <w:sz w:val="18"/>
              </w:rPr>
              <w:t xml:space="preserve">The audio recording when the user records a question</w:t>
            </w:r>
          </w:p>
        </w:tc>
        <w:tc>
          <w:tcPr>
            <w:tcW w:w="2300" w:type="dxa"/>
          </w:tcPr>
          <w:p>
            <w:pPr>
              <w:spacing w:after="0"/>
            </w:pPr>
            <w:r>
              <w:rPr>
                <w:sz w:val="18"/>
              </w:rPr>
              <w:t xml:space="preserve">-</w:t>
            </w:r>
          </w:p>
        </w:tc>
        <w:tc>
          <w:tcPr>
            <w:tcW w:w="2250" w:type="dxa"/>
          </w:tcPr>
          <w:p>
            <w:pPr>
              <w:spacing w:after="0"/>
            </w:pPr>
            <w:r>
              <w:rPr>
                <w:sz w:val="18"/>
              </w:rPr>
              <w:t xml:space="preserve">Requires a speech-service key</w:t>
            </w:r>
          </w:p>
        </w:tc>
      </w:tr>
    </w:tbl>
    <w:p>
      <w:r>
        <w:t xml:space="preserve">Before real company data is used: review each provider's retention and training terms, classify data by sensitivity, mask additional sensitive fields, and run an independent penetration test.</w:t>
      </w:r>
    </w:p>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rsidRPr="00E47C6F">
        <w:t>Interpret question: External AI Service converts the question into a structured request.</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r>
        <w:rPr>
          <w:b/>
          <w:bCs/>
        </w:rPr>
        <w:t xml:space="preserve">Note on step 4:</w:t>
      </w:r>
      <w:r>
        <w:t xml:space="preserve">The standard path resolves clear questions with the business dictionary (metrics, dimensions, periods, factories) and calls the AI service only when the dictionary cannot resolve the question. Both routes produce the same structured request and pass through the same permission check.</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sidRPr="00E32F3A">
        <w:rPr>
          <w:b/>
          <w:bCs/>
        </w:rPr>
        <w:t>Prerequisite:</w:t>
      </w:r>
      <w:r w:rsidRPr="00E32F3A">
        <w:t xml:space="preserve"> The user is authenticated but requests data outside their assigned access scope. This concerns the permission check performed after interpretation — the External AI Service itself never has visibility into the user's specific access rights, only non-sensitive context.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Verify identity and access scope: Backend authenticates the user.</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r>
        <w:rPr>
          <w:b/>
          <w:bCs/>
        </w:rPr>
        <w:t xml:space="preserve">Note:</w:t>
      </w:r>
      <w:r>
        <w:t xml:space="preserve">The IT Administrator role is refused at the start of processing, before the AI service is called and before the warehouse is touched; no question from this role reaches interpretation. For other roles the denial happens in the permission check as shown above.</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rsidRPr="00BB4ED9">
        <w:t>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w:t>
      </w:r>
    </w:p>
    <w:p w14:paraId="16F21ADA" w14:textId="77777777" w:rsidR="00BB4ED9" w:rsidRPr="00BB4ED9" w:rsidRDefault="00BB4ED9" w:rsidP="00BB4ED9">
      <w:r w:rsidRPr="00BB4ED9">
        <w:t>For example, if a generated query references a restricted table or attempts to modify business data, the backend rejects it before execution. Correctable SQL errors may trigger a limited number of revision attempts, and every revised query must pass validation again. Authorization failures are denied rather than retried through another query path.</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r>
        <w:rPr>
          <w:b/>
          <w:bCs/>
        </w:rPr>
        <w:t xml:space="preserve">Additional behavior of the validation layer:</w:t>
      </w:r>
    </w:p>
    <w:p>
      <w:pPr>
        <w:pStyle w:val="ListParagraph"/>
        <w:numPr>
          <w:ilvl w:val="0"/>
          <w:numId w:val="10"/>
        </w:numPr>
      </w:pPr>
      <w:r>
        <w:t xml:space="preserve">Both query paths share one SQL validation layer and one permission layer. The standard path must also match the exact predefined statement.</w:t>
      </w:r>
    </w:p>
    <w:p>
      <w:pPr>
        <w:pStyle w:val="ListParagraph"/>
        <w:numPr>
          <w:ilvl w:val="0"/>
          <w:numId w:val="10"/>
        </w:numPr>
      </w:pPr>
      <w:r>
        <w:t xml:space="preserve">AI-proposed SQL that departs from the approved shape (literal dates instead of parameters, an extra filter, a table or join that is not permitted) is returned to the AI service for correction, at most 2 times. Security errors (writes, tables or functions outside the allowlist, scope violations) are never retried.</w:t>
      </w:r>
    </w:p>
    <w:p>
      <w:pPr>
        <w:pStyle w:val="ListParagraph"/>
        <w:numPr>
          <w:ilvl w:val="0"/>
          <w:numId w:val="10"/>
        </w:numPr>
      </w:pPr>
      <w:r>
        <w:t xml:space="preserve">The scope layer wraps the source table in a subquery restricted to the user's period and permissions. In the RAG path the date condition therefore appears in both the subquery and the outer query, bound to the same parameters.</w:t>
      </w:r>
    </w:p>
    <w:p>
      <w:pPr>
        <w:pStyle w:val="ListParagraph"/>
        <w:numPr>
          <w:ilvl w:val="0"/>
          <w:numId w:val="10"/>
        </w:numPr>
      </w:pPr>
      <w:r>
        <w:t xml:space="preserve">Row limits: 100 for ordinary lists, 250 for stacked charts, 400 for grouping by day, week or month. When a result reaches the limit and the user did not ask for a top N, the answer states that only the first rows are shown.</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rPr>
          <w:b/>
          <w:bCs/>
        </w:rPr>
        <w:t xml:space="preserve">Additional behavior of conversation handling:</w:t>
      </w:r>
    </w:p>
    <w:p>
      <w:pPr>
        <w:pStyle w:val="ListParagraph"/>
        <w:numPr>
          <w:ilvl w:val="0"/>
          <w:numId w:val="10"/>
        </w:numPr>
      </w:pPr>
      <w:r>
        <w:t xml:space="preserve">The context sent to the AI service holds at most 6 recent turns. Amounts and ratios of earlier answers are replaced by [number]; names and dates are kept so phrases such as "the top territory" can be resolved.</w:t>
      </w:r>
    </w:p>
    <w:p>
      <w:pPr>
        <w:pStyle w:val="ListParagraph"/>
        <w:numPr>
          <w:ilvl w:val="0"/>
          <w:numId w:val="10"/>
        </w:numPr>
      </w:pPr>
      <w:r>
        <w:t xml:space="preserve">A period chosen by the AI service is checked against the question: a question that names exactly one year, quarter or month uses it; a question with no time wording and no earlier period to inherit makes the system ask instead of guessing.</w:t>
      </w:r>
    </w:p>
    <w:p>
      <w:pPr>
        <w:pStyle w:val="ListParagraph"/>
        <w:numPr>
          <w:ilvl w:val="0"/>
          <w:numId w:val="10"/>
        </w:numPr>
      </w:pPr>
      <w:r>
        <w:t xml:space="preserve">A factory named by the user is always a filter. Comparing two factories shows only those two and states what was left out.</w:t>
      </w:r>
    </w:p>
    <w:p>
      <w:pPr>
        <w:pStyle w:val="ListParagraph"/>
        <w:numPr>
          <w:ilvl w:val="0"/>
          <w:numId w:val="10"/>
        </w:numPr>
      </w:pPr>
      <w:r>
        <w:t xml:space="preserve">Comparisons (period with period, factory with factory) have their own handler: each side uses the same metric definition and the same permission layer, and differences are computed in code, not by the AI service.</w:t>
      </w:r>
    </w:p>
    <w:p>
      <w:pPr>
        <w:pStyle w:val="ListParagraph"/>
        <w:numPr>
          <w:ilvl w:val="0"/>
          <w:numId w:val="10"/>
        </w:numPr>
      </w:pPr>
      <w:r>
        <w:t xml:space="preserve">A message with several requests is split (by rules, or marked by the AI service), up to 5 requests. Each request runs a full processing pass with its own permission check and is shown as a numbered block. A refused request or one that needs a detail stops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rsidRPr="005777D7">
        <w:t>Both Structured Intent and RAG Text-to-SQL use the same presentation process. After query execution, the backend prepares the results and approved metadata, including column names, data types, units, and reporting periods. The AI proposes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rsidRPr="005777D7">
        <w:t>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r>
        <w:t xml:space="preserve">When a provider returns a rate-limit code (429, or 403 mentioning a limit) or is overloaded (5xx), the user is told that the AI service is busy and to retry later; a wrong or partial result is never returned. Questions the business dictionary resolves do not depend on the AI quota.</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sidRPr="00E854FE">
        <w:rPr>
          <w:b/>
          <w:bCs/>
        </w:rPr>
        <w:t>Decision:</w:t>
      </w:r>
      <w:r w:rsidRPr="00E854FE">
        <w:t xml:space="preserve"> Use a pretrained LLM through an external API. Only company-approved information is transmitted, and API credentials remain on the server. This reduces model-hosting responsibilities but introduces provider dependency, network requirements, and usage costs.</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r>
        <w:rPr>
          <w:b/>
          <w:bCs/>
        </w:rPr>
        <w:t xml:space="preserve">Note (v1.1):</w:t>
      </w:r>
      <w:r>
        <w:t xml:space="preserve">Provider operation: in production, ACBI uses one paid AI provider (for example the Claude API) or a model hosted offline on a dedicated server, chosen with the estimate in Appendix B. The AI calls sit behind one interface, so changing provider is a configuration change. Rotating several free providers and keys is only a temporary arrangement for the demonstration period, to avoid cost; it is not part of the long-term design and is removed when a paid plan is adopted.</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sidRPr="007F765A">
        <w:rPr>
          <w:b/>
          <w:bCs/>
        </w:rPr>
        <w:t>Decision:</w:t>
      </w:r>
      <w:r w:rsidRPr="007F765A">
        <w:t xml:space="preserve"> Let the AI propose the visualization type and column mappings.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sidRPr="007F765A">
        <w:rPr>
          <w:b/>
          <w:bCs/>
        </w:rPr>
        <w:t>Alternatives:</w:t>
      </w:r>
      <w:r w:rsidRPr="007F765A">
        <w:t xml:space="preserve"> Select all visualizations through backend rules,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sidRPr="00F4111A">
        <w:rPr>
          <w:b/>
          <w:bCs/>
        </w:rPr>
        <w:t>Mitigation:</w:t>
      </w:r>
      <w:r w:rsidRPr="00F4111A">
        <w:t xml:space="preserve"> Enforce access scope in the backend and use restricted, read-only database credentials. Check current permissions when accessing stored results and limit external AI requests to company-approved content. Test unauthorized-access scenarios across both query paths.</w:t>
      </w:r>
    </w:p>
    <w:p>
      <w:r>
        <w:rPr>
          <w:b/>
          <w:bCs/>
        </w:rPr>
        <w:t xml:space="preserve">Additional mitigation:</w:t>
      </w:r>
      <w:r>
        <w:t xml:space="preserve">Send only the question and metric descriptions, replace amounts in conversation context, and keep the table in Section 3.2 up to date. Before real data is used, review provider retention terms, classify data and run an independent penetration test.</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sidRPr="00F4111A">
        <w:rPr>
          <w:b/>
          <w:bCs/>
        </w:rPr>
        <w:t>Mitigation:</w:t>
      </w:r>
      <w:r w:rsidRPr="00F4111A">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w:t>
      </w:r>
    </w:p>
    <w:p>
      <w:r>
        <w:rPr>
          <w:b/>
          <w:bCs/>
        </w:rPr>
        <w:t xml:space="preserve">Additional mitigation:</w:t>
      </w:r>
      <w:r>
        <w:t xml:space="preserve">Free-tier quotas limit concurrent use; use a paid plan or an offline model in production and keep the clear "AI busy" response.</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 (October 2026 prices)</w:t>
      </w:r>
    </w:p>
    <w:p>
      <w:r>
        <w:t xml:space="preserve">Estimate for the AI service only. Worst case: every question calls the AI service. Prices and token counts must be confirmed before a decision.</w:t>
      </w:r>
    </w:p>
    <w:tbl>
      <w:tblPr>
        <w:tblStyle w:val="TableGrid"/>
        <w:tblW w:w="10150" w:type="dxa"/>
        <w:jc w:val="center"/>
        <w:tblLook w:val="04A0" w:firstRow="1" w:lastRow="0" w:firstColumn="1" w:lastColumn="0" w:noHBand="0" w:noVBand="1"/>
      </w:tblPr>
      <w:tblGrid>
        <w:gridCol w:w="2600"/>
        <w:gridCol w:w="3900"/>
        <w:gridCol w:w="3650"/>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650"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650"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650"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650"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w:t>
            </w:r>
          </w:p>
        </w:tc>
        <w:tc>
          <w:tcPr>
            <w:tcW w:w="3900" w:type="dxa"/>
          </w:tcPr>
          <w:p>
            <w:pPr>
              <w:spacing w:after="0"/>
            </w:pPr>
            <w:r>
              <w:rPr>
                <w:sz w:val="18"/>
              </w:rPr>
              <w:t xml:space="preserve">About 250,000 questions per month</w:t>
            </w:r>
          </w:p>
        </w:tc>
        <w:tc>
          <w:tcPr>
            <w:tcW w:w="3650" w:type="dxa"/>
          </w:tcPr>
          <w:p>
            <w:pPr>
              <w:spacing w:after="0"/>
            </w:pPr>
            <w:r>
              <w:rPr>
                <w:sz w:val="18"/>
              </w:rPr>
              <w:t xml:space="preserve">Below this volume the API is cheaper</w:t>
            </w:r>
          </w:p>
        </w:tc>
      </w:tr>
    </w:tbl>
    <w:p>
      <w:r>
        <w:t xml:space="preserve">Operating staff cost: [not yet estimated,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