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4213D"/>
          <w:sz w:val="40"/>
        </w:rPr>
        <w:t>ACBI Technical Solution Proposal: phần bổ sung cho bản v1.1</w:t>
      </w:r>
    </w:p>
    <w:p>
      <w:pPr>
        <w:spacing w:after="120" w:line="288" w:lineRule="auto"/>
      </w:pPr>
      <w:r>
        <w:rPr>
          <w:b w:val="0"/>
          <w:i w:val="0"/>
          <w:color w:val="555B66"/>
        </w:rPr>
        <w:t>Chỉ gồm thiết kế lâu dài mà hệ thống đã có nhưng bản v1.0 chưa mô tả. Dự báo chưa đưa vào vì còn phụ thuộc nghiệp vụ, hiện chỉ là chức năng tạm. Mỗi mục ghi rõ chèn vào mục nào của tài liệu. Kết quả đo và số liệu kiểm thử không nằm ở đây mà ở báo cáo kiểm thử (docs/ACBI_bao_cao_kiem_thu.xlsx).</w:t>
      </w:r>
    </w:p>
    <w:p>
      <w:pPr>
        <w:spacing w:after="200" w:line="288" w:lineRule="auto"/>
      </w:pPr>
      <w:r>
        <w:rPr>
          <w:b w:val="0"/>
          <w:i/>
          <w:color w:val="555B66"/>
        </w:rPr>
        <w:t>Ngày lập: 2026-10-14.</w:t>
      </w:r>
    </w:p>
    <w:p>
      <w:pPr>
        <w:pStyle w:val="Heading1"/>
      </w:pPr>
      <w:r>
        <w:t>A. Dữ liệu gửi ra dịch vụ AI bên ngoài (chèn vào mục 3.2, 8.3 và 11)</w:t>
      </w:r>
    </w:p>
    <w:p>
      <w:pPr>
        <w:spacing w:after="120" w:line="288" w:lineRule="auto"/>
      </w:pPr>
      <w:r>
        <w:rPr>
          <w:b w:val="0"/>
          <w:i w:val="0"/>
        </w:rPr>
        <w:t>Nguyên tắc: AI không có đường truy cập tới kho dữ liệu. Điều đó không có nghĩa không có thông tin nào rời hệ thống; bảng dưới liệt kê chính xác.</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474"/>
            <w:shd w:val="clear" w:color="auto" w:fill="1F4E3D"/>
          </w:tcPr>
          <w:p>
            <w:r/>
            <w:r>
              <w:rPr>
                <w:b/>
                <w:color w:val="FFFFFF"/>
                <w:sz w:val="19"/>
              </w:rPr>
              <w:t>Lời gọi</w:t>
            </w:r>
          </w:p>
        </w:tc>
        <w:tc>
          <w:tcPr>
            <w:tcW w:type="dxa" w:w="3628"/>
            <w:shd w:val="clear" w:color="auto" w:fill="1F4E3D"/>
          </w:tcPr>
          <w:p>
            <w:r/>
            <w:r>
              <w:rPr>
                <w:b/>
                <w:color w:val="FFFFFF"/>
                <w:sz w:val="19"/>
              </w:rPr>
              <w:t>Nội dung gửi</w:t>
            </w:r>
          </w:p>
        </w:tc>
        <w:tc>
          <w:tcPr>
            <w:tcW w:type="dxa" w:w="2381"/>
            <w:shd w:val="clear" w:color="auto" w:fill="1F4E3D"/>
          </w:tcPr>
          <w:p>
            <w:r/>
            <w:r>
              <w:rPr>
                <w:b/>
                <w:color w:val="FFFFFF"/>
                <w:sz w:val="19"/>
              </w:rPr>
              <w:t>Không gửi</w:t>
            </w:r>
          </w:p>
        </w:tc>
        <w:tc>
          <w:tcPr>
            <w:tcW w:type="dxa" w:w="1928"/>
            <w:shd w:val="clear" w:color="auto" w:fill="1F4E3D"/>
          </w:tcPr>
          <w:p>
            <w:r/>
            <w:r>
              <w:rPr>
                <w:b/>
                <w:color w:val="FFFFFF"/>
                <w:sz w:val="19"/>
              </w:rPr>
              <w:t>Công tắc</w:t>
            </w:r>
          </w:p>
        </w:tc>
      </w:tr>
      <w:tr>
        <w:tc>
          <w:tcPr>
            <w:tcW w:type="dxa" w:w="1474"/>
          </w:tcPr>
          <w:p>
            <w:r/>
            <w:r>
              <w:rPr>
                <w:sz w:val="19"/>
              </w:rPr>
              <w:t>Hiểu câu hỏi</w:t>
            </w:r>
          </w:p>
        </w:tc>
        <w:tc>
          <w:tcPr>
            <w:tcW w:type="dxa" w:w="3628"/>
          </w:tcPr>
          <w:p>
            <w:r/>
            <w:r>
              <w:rPr>
                <w:sz w:val="19"/>
              </w:rPr>
              <w:t>Câu hỏi (tối đa 1000 ký tự); ngày dữ liệu; danh mục chỉ số, chiều, tên khu vực và nhà máy đã duyệt; phiếu yêu cầu lượt trước; tối đa 6 lượt gần nhất (câu hỏi và câu trả lời, số tiền và tỷ lệ thay bằng [số])</w:t>
            </w:r>
          </w:p>
        </w:tc>
        <w:tc>
          <w:tcPr>
            <w:tcW w:type="dxa" w:w="2381"/>
          </w:tcPr>
          <w:p>
            <w:r/>
            <w:r>
              <w:rPr>
                <w:sz w:val="19"/>
              </w:rPr>
              <w:t>Dòng kết quả; số tiền của câu trả lời trước; mật khẩu, khóa, vai trò, mã người dùng</w:t>
            </w:r>
          </w:p>
        </w:tc>
        <w:tc>
          <w:tcPr>
            <w:tcW w:type="dxa" w:w="1928"/>
          </w:tcPr>
          <w:p>
            <w:r/>
            <w:r>
              <w:rPr>
                <w:sz w:val="19"/>
              </w:rPr>
              <w:t>Luôn dùng khi câu cần AI hiểu</w:t>
            </w:r>
          </w:p>
        </w:tc>
      </w:tr>
      <w:tr>
        <w:tc>
          <w:tcPr>
            <w:tcW w:type="dxa" w:w="1474"/>
          </w:tcPr>
          <w:p>
            <w:r/>
            <w:r>
              <w:rPr>
                <w:sz w:val="19"/>
              </w:rPr>
              <w:t>Đề xuất SQL (RAG)</w:t>
            </w:r>
          </w:p>
        </w:tc>
        <w:tc>
          <w:tcPr>
            <w:tcW w:type="dxa" w:w="3628"/>
          </w:tcPr>
          <w:p>
            <w:r/>
            <w:r>
              <w:rPr>
                <w:sz w:val="19"/>
              </w:rPr>
              <w:t>Câu hỏi; phiếu yêu cầu (không có kỳ, nhà máy, khu vực); định nghĩa chỉ số đã duyệt; ánh xạ nguồn; tên bảng và cột được phép theo vai trò; tối đa 2 SQL mẫu</w:t>
            </w:r>
          </w:p>
        </w:tc>
        <w:tc>
          <w:tcPr>
            <w:tcW w:type="dxa" w:w="2381"/>
          </w:tcPr>
          <w:p>
            <w:r/>
            <w:r>
              <w:rPr>
                <w:sz w:val="19"/>
              </w:rPr>
              <w:t>Dòng kết quả; toàn bộ lược đồ</w:t>
            </w:r>
          </w:p>
        </w:tc>
        <w:tc>
          <w:tcPr>
            <w:tcW w:type="dxa" w:w="1928"/>
          </w:tcPr>
          <w:p>
            <w:r/>
            <w:r>
              <w:rPr>
                <w:sz w:val="19"/>
              </w:rPr>
              <w:t>EXTERNAL_METADATA_ENABLED</w:t>
            </w:r>
          </w:p>
        </w:tc>
      </w:tr>
      <w:tr>
        <w:tc>
          <w:tcPr>
            <w:tcW w:type="dxa" w:w="1474"/>
          </w:tcPr>
          <w:p>
            <w:r/>
            <w:r>
              <w:rPr>
                <w:sz w:val="19"/>
              </w:rPr>
              <w:t>Chọn biểu đồ</w:t>
            </w:r>
          </w:p>
        </w:tc>
        <w:tc>
          <w:tcPr>
            <w:tcW w:type="dxa" w:w="3628"/>
          </w:tcPr>
          <w:p>
            <w:r/>
            <w:r>
              <w:rPr>
                <w:sz w:val="19"/>
              </w:rPr>
              <w:t>Câu hỏi; số dòng, tên cột, kiểu cột của kết quả</w:t>
            </w:r>
          </w:p>
        </w:tc>
        <w:tc>
          <w:tcPr>
            <w:tcW w:type="dxa" w:w="2381"/>
          </w:tcPr>
          <w:p>
            <w:r/>
            <w:r>
              <w:rPr>
                <w:sz w:val="19"/>
              </w:rPr>
              <w:t>Giá trị trong kết quả</w:t>
            </w:r>
          </w:p>
        </w:tc>
        <w:tc>
          <w:tcPr>
            <w:tcW w:type="dxa" w:w="1928"/>
          </w:tcPr>
          <w:p>
            <w:r/>
            <w:r>
              <w:rPr>
                <w:sz w:val="19"/>
              </w:rPr>
              <w:t>EXTERNAL_METADATA_ENABLED</w:t>
            </w:r>
          </w:p>
        </w:tc>
      </w:tr>
      <w:tr>
        <w:tc>
          <w:tcPr>
            <w:tcW w:type="dxa" w:w="1474"/>
          </w:tcPr>
          <w:p>
            <w:r/>
            <w:r>
              <w:rPr>
                <w:sz w:val="19"/>
              </w:rPr>
              <w:t>Tóm tắt bằng AI</w:t>
            </w:r>
          </w:p>
        </w:tc>
        <w:tc>
          <w:tcPr>
            <w:tcW w:type="dxa" w:w="3628"/>
          </w:tcPr>
          <w:p>
            <w:r/>
            <w:r>
              <w:rPr>
                <w:sz w:val="19"/>
              </w:rPr>
              <w:t>Dòng kết quả</w:t>
            </w:r>
          </w:p>
        </w:tc>
        <w:tc>
          <w:tcPr>
            <w:tcW w:type="dxa" w:w="2381"/>
          </w:tcPr>
          <w:p>
            <w:r/>
            <w:r>
              <w:rPr>
                <w:sz w:val="19"/>
              </w:rPr>
              <w:t>—</w:t>
            </w:r>
          </w:p>
        </w:tc>
        <w:tc>
          <w:tcPr>
            <w:tcW w:type="dxa" w:w="1928"/>
          </w:tcPr>
          <w:p>
            <w:r/>
            <w:r>
              <w:rPr>
                <w:sz w:val="19"/>
              </w:rPr>
              <w:t>SEND_RESULTS_TO_LLM và EXTERNAL_RESULTS_ENABLED, mặc định tắt</w:t>
            </w:r>
          </w:p>
        </w:tc>
      </w:tr>
      <w:tr>
        <w:tc>
          <w:tcPr>
            <w:tcW w:type="dxa" w:w="1474"/>
          </w:tcPr>
          <w:p>
            <w:r/>
            <w:r>
              <w:rPr>
                <w:sz w:val="19"/>
              </w:rPr>
              <w:t>Chuyển giọng nói</w:t>
            </w:r>
          </w:p>
        </w:tc>
        <w:tc>
          <w:tcPr>
            <w:tcW w:type="dxa" w:w="3628"/>
          </w:tcPr>
          <w:p>
            <w:r/>
            <w:r>
              <w:rPr>
                <w:sz w:val="19"/>
              </w:rPr>
              <w:t>File ghi âm khi người dùng bấm ghi âm</w:t>
            </w:r>
          </w:p>
        </w:tc>
        <w:tc>
          <w:tcPr>
            <w:tcW w:type="dxa" w:w="2381"/>
          </w:tcPr>
          <w:p>
            <w:r/>
            <w:r>
              <w:rPr>
                <w:sz w:val="19"/>
              </w:rPr>
              <w:t>—</w:t>
            </w:r>
          </w:p>
        </w:tc>
        <w:tc>
          <w:tcPr>
            <w:tcW w:type="dxa" w:w="1928"/>
          </w:tcPr>
          <w:p>
            <w:r/>
            <w:r>
              <w:rPr>
                <w:sz w:val="19"/>
              </w:rPr>
              <w:t>Cần khóa dịch vụ giọng nói</w:t>
            </w:r>
          </w:p>
        </w:tc>
      </w:tr>
    </w:tbl>
    <w:p>
      <w:pPr>
        <w:spacing w:after="80"/>
      </w:pPr>
    </w:p>
    <w:p>
      <w:pPr>
        <w:spacing w:after="120" w:line="288" w:lineRule="auto"/>
      </w:pPr>
      <w:r>
        <w:rPr>
          <w:b w:val="0"/>
          <w:i w:val="0"/>
        </w:rPr>
        <w:t>Điều kiện trước khi dùng dữ liệu thật: rà soát điều khoản lưu giữ và huấn luyện của từng nhà cung cấp AI, phân loại dữ liệu theo mức nhạy cảm, che thêm các trường nhạy cảm, kiểm thử xâm nhập độc lập.</w:t>
      </w:r>
    </w:p>
    <w:p>
      <w:pPr>
        <w:pStyle w:val="Heading1"/>
      </w:pPr>
      <w:r>
        <w:t>B. Kiểm tra SQL (bổ sung mục 8.3)</w:t>
      </w:r>
    </w:p>
    <w:p>
      <w:pPr>
        <w:pStyle w:val="ListBullet"/>
        <w:spacing w:after="40"/>
      </w:pPr>
      <w:r>
        <w:t>Hai đường truy vấn (mẫu và RAG) dùng chung một lớp kiểm tra SQL và một lớp phân quyền; đường mẫu còn phải khớp chính xác câu SQL dựng sẵn.</w:t>
      </w:r>
    </w:p>
    <w:p>
      <w:pPr>
        <w:pStyle w:val="ListBullet"/>
        <w:spacing w:after="40"/>
      </w:pPr>
      <w:r>
        <w:t>SQL do AI đề xuất lệch khuôn đã duyệt (ghi ngày cụ thể thay vì tham số, thêm bộ lọc hoặc nối bảng không được phép) được gửi lại cho AI sửa tối đa 2 lần. Lỗi an toàn (ghi dữ liệu, bảng hoặc hàm ngoài danh sách cho phép, vượt phạm vi quyền) không bao giờ được thử lại.</w:t>
      </w:r>
    </w:p>
    <w:p>
      <w:pPr>
        <w:pStyle w:val="ListBullet"/>
        <w:spacing w:after="40"/>
      </w:pPr>
      <w:r>
        <w:t>Lớp phạm vi bao bảng nguồn bằng một truy vấn con giới hạn đúng kỳ và quyền của người dùng, nên SQL của đường RAG có điều kiện ngày ở cả truy vấn con và truy vấn ngoài, dùng cùng tham số.</w:t>
      </w:r>
    </w:p>
    <w:p>
      <w:pPr>
        <w:pStyle w:val="ListBullet"/>
        <w:spacing w:after="40"/>
      </w:pPr>
      <w:r>
        <w:t>Giới hạn dòng: 100 cho danh sách thông thường, 250 cho biểu đồ chồng, 400 cho nhóm theo ngày, tuần, tháng; kết quả chạm giới hạn mà người dùng không xin top N thì có thông báo chỉ hiển thị các dòng đầu.</w:t>
      </w:r>
    </w:p>
    <w:p>
      <w:pPr>
        <w:pStyle w:val="ListBullet"/>
        <w:spacing w:after="40"/>
      </w:pPr>
      <w:r>
        <w:t>Yêu cầu bị từ chối được quyết định trước khi tới kho dữ liệu.</w:t>
      </w:r>
    </w:p>
    <w:p>
      <w:pPr>
        <w:pStyle w:val="Heading1"/>
      </w:pPr>
      <w:r>
        <w:t>C. Ngữ cảnh hội thoại (bổ sung mục 8.4)</w:t>
      </w:r>
    </w:p>
    <w:p>
      <w:pPr>
        <w:pStyle w:val="ListBullet"/>
        <w:spacing w:after="40"/>
      </w:pPr>
      <w:r>
        <w:t>Ngữ cảnh gửi cho AI gồm tối đa 6 lượt gần nhất; số tiền và tỷ lệ của câu trả lời trước được thay bằng [số], chỉ giữ tên và ngày để giải quyết các cách nói như 'khu vực đứng đầu'.</w:t>
      </w:r>
    </w:p>
    <w:p>
      <w:pPr>
        <w:pStyle w:val="ListBullet"/>
        <w:spacing w:after="40"/>
      </w:pPr>
      <w:r>
        <w:t>Kỳ do AI chọn được kiểm tra lại với câu hỏi: câu nêu đúng một năm, quý hoặc tháng thì dùng kỳ đó; câu không có từ nào về thời gian và không có kỳ trước để kế thừa thì hệ thống hỏi lại thay vì đoán.</w:t>
      </w:r>
    </w:p>
    <w:p>
      <w:pPr>
        <w:pStyle w:val="ListBullet"/>
        <w:spacing w:after="40"/>
      </w:pPr>
      <w:r>
        <w:t>Nhà máy do người dùng gọi tên luôn là bộ lọc; hỏi so sánh hai nhà máy chỉ hiển thị hai nhà máy đó và ghi rõ phần chưa gồm.</w:t>
      </w:r>
    </w:p>
    <w:p>
      <w:pPr>
        <w:pStyle w:val="ListBullet"/>
        <w:spacing w:after="40"/>
      </w:pPr>
      <w:r>
        <w:t>So sánh (kỳ với kỳ, nhà máy với nhà máy) có bộ xử lý riêng: mỗi vế dùng cùng định nghĩa chỉ số và cùng lớp phân quyền, kết quả được ghép và tính chênh lệch bằng mã, không do AI tính.</w:t>
      </w:r>
    </w:p>
    <w:p>
      <w:pPr>
        <w:pStyle w:val="ListBullet"/>
        <w:spacing w:after="40"/>
      </w:pPr>
      <w:r>
        <w:t>Một tin nhắn có nhiều yêu cầu được tách (bằng quy tắc, hoặc AI đánh dấu), tối đa 5 yêu cầu. Mỗi yêu cầu chạy trọn một lượt xử lý riêng, có phân quyền riêng, và hiển thị thành một khối đánh số. Yêu cầu bị từ chối hoặc còn thiếu thông tin chỉ dừng khối của nó, không dừng các khối khác; yêu cầu vượt giới hạn được nêu tên là chưa thực hiện.</w:t>
      </w:r>
    </w:p>
    <w:p>
      <w:pPr>
        <w:pStyle w:val="Heading1"/>
      </w:pPr>
      <w:r>
        <w:t>D. Nhà cung cấp AI và xử lý khi AI bận (bổ sung mục 8.6 và 9.2)</w:t>
      </w:r>
    </w:p>
    <w:p>
      <w:pPr>
        <w:pStyle w:val="ListBullet"/>
        <w:spacing w:after="40"/>
      </w:pPr>
      <w:r>
        <w:t>Khi vận hành chính thức dùng một nhà cung cấp AI trả phí (API Claude) hoặc mô hình chạy offline trên máy chủ riêng, chọn theo mục G. Lớp gọi AI nằm sau một giao diện chung nên đổi nhà cung cấp chỉ là đổi cấu hình.</w:t>
      </w:r>
    </w:p>
    <w:p>
      <w:pPr>
        <w:pStyle w:val="ListBullet"/>
        <w:spacing w:after="40"/>
      </w:pPr>
      <w:r>
        <w:t>Việc xoay vòng nhiều nhà cung cấp và nhiều khóa miễn phí chỉ là phương án tạm cho giai đoạn demo để không tốn chi phí; không phải một phần của thiết kế lâu dài và sẽ gỡ bỏ khi chuyển sang gói trả phí.</w:t>
      </w:r>
    </w:p>
    <w:p>
      <w:pPr>
        <w:pStyle w:val="ListBullet"/>
        <w:spacing w:after="40"/>
      </w:pPr>
      <w:r>
        <w:t>Thiết kế lâu dài: mọi trường hợp nhà cung cấp trả mã giới hạn (429, hoặc 403 có chữ limit) hoặc quá tải (5xx) đều được báo là 'AI đang bận, thử lại sau', không bao giờ trả kết quả sai.</w:t>
      </w:r>
    </w:p>
    <w:p>
      <w:pPr>
        <w:pStyle w:val="ListBullet"/>
        <w:spacing w:after="40"/>
      </w:pPr>
      <w:r>
        <w:t>Câu rõ ràng được tra từ điển nghiệp vụ và không cần gọi AI, nên không phụ thuộc hạn mức.</w:t>
      </w:r>
    </w:p>
    <w:p>
      <w:pPr>
        <w:pStyle w:val="Heading1"/>
      </w:pPr>
      <w:r>
        <w:t>E. Tiêu chí chất lượng (bổ sung mục 10.2)</w:t>
      </w:r>
    </w:p>
    <w:p>
      <w:pPr>
        <w:spacing w:after="120" w:line="288" w:lineRule="auto"/>
      </w:pPr>
      <w:r>
        <w:rPr>
          <w:b w:val="0"/>
          <w:i w:val="0"/>
        </w:rPr>
        <w:t>Tiêu chí đạt cho các kịch bản chất lượng; kết quả đo nằm ở báo cáo kiểm thử.</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1F4E3D"/>
          </w:tcPr>
          <w:p>
            <w:r/>
            <w:r>
              <w:rPr>
                <w:b/>
                <w:color w:val="FFFFFF"/>
                <w:sz w:val="19"/>
              </w:rPr>
              <w:t>Yêu cầu</w:t>
            </w:r>
          </w:p>
        </w:tc>
        <w:tc>
          <w:tcPr>
            <w:tcW w:type="dxa" w:w="4082"/>
            <w:shd w:val="clear" w:color="auto" w:fill="1F4E3D"/>
          </w:tcPr>
          <w:p>
            <w:r/>
            <w:r>
              <w:rPr>
                <w:b/>
                <w:color w:val="FFFFFF"/>
                <w:sz w:val="19"/>
              </w:rPr>
              <w:t>Cách kiểm chứng</w:t>
            </w:r>
          </w:p>
        </w:tc>
        <w:tc>
          <w:tcPr>
            <w:tcW w:type="dxa" w:w="3685"/>
            <w:shd w:val="clear" w:color="auto" w:fill="1F4E3D"/>
          </w:tcPr>
          <w:p>
            <w:r/>
            <w:r>
              <w:rPr>
                <w:b/>
                <w:color w:val="FFFFFF"/>
                <w:sz w:val="19"/>
              </w:rPr>
              <w:t>Tiêu chí đạt</w:t>
            </w:r>
          </w:p>
        </w:tc>
      </w:tr>
      <w:tr>
        <w:tc>
          <w:tcPr>
            <w:tcW w:type="dxa" w:w="1701"/>
          </w:tcPr>
          <w:p>
            <w:r/>
            <w:r>
              <w:rPr>
                <w:sz w:val="19"/>
              </w:rPr>
              <w:t>Chính xác</w:t>
            </w:r>
          </w:p>
        </w:tc>
        <w:tc>
          <w:tcPr>
            <w:tcW w:type="dxa" w:w="4082"/>
          </w:tcPr>
          <w:p>
            <w:r/>
            <w:r>
              <w:rPr>
                <w:sz w:val="19"/>
              </w:rPr>
              <w:t>Tính lại mỗi bảng số liệu bằng một câu SQL độc lập trên kho dữ liệu, so từng giá trị</w:t>
            </w:r>
          </w:p>
        </w:tc>
        <w:tc>
          <w:tcPr>
            <w:tcW w:type="dxa" w:w="3685"/>
          </w:tcPr>
          <w:p>
            <w:r/>
            <w:r>
              <w:rPr>
                <w:sz w:val="19"/>
              </w:rPr>
              <w:t>Không có giá trị lệch; câu thiếu dữ liệu hoặc mơ hồ thì hỏi lại hoặc từ chối, không bịa số</w:t>
            </w:r>
          </w:p>
        </w:tc>
      </w:tr>
      <w:tr>
        <w:tc>
          <w:tcPr>
            <w:tcW w:type="dxa" w:w="1701"/>
          </w:tcPr>
          <w:p>
            <w:r/>
            <w:r>
              <w:rPr>
                <w:sz w:val="19"/>
              </w:rPr>
              <w:t>Bảo mật</w:t>
            </w:r>
          </w:p>
        </w:tc>
        <w:tc>
          <w:tcPr>
            <w:tcW w:type="dxa" w:w="4082"/>
          </w:tcPr>
          <w:p>
            <w:r/>
            <w:r>
              <w:rPr>
                <w:sz w:val="19"/>
              </w:rPr>
              <w:t>Ma trận vai trò x câu hỏi trên cả đường mẫu và RAG, kể cả câu tấn công</w:t>
            </w:r>
          </w:p>
        </w:tc>
        <w:tc>
          <w:tcPr>
            <w:tcW w:type="dxa" w:w="3685"/>
          </w:tcPr>
          <w:p>
            <w:r/>
            <w:r>
              <w:rPr>
                <w:sz w:val="19"/>
              </w:rPr>
              <w:t>100% yêu cầu ngoài quyền bị từ chối, không có dòng dữ liệu nào lọt ra</w:t>
            </w:r>
          </w:p>
        </w:tc>
      </w:tr>
      <w:tr>
        <w:tc>
          <w:tcPr>
            <w:tcW w:type="dxa" w:w="1701"/>
          </w:tcPr>
          <w:p>
            <w:r/>
            <w:r>
              <w:rPr>
                <w:sz w:val="19"/>
              </w:rPr>
              <w:t>Truy vết</w:t>
            </w:r>
          </w:p>
        </w:tc>
        <w:tc>
          <w:tcPr>
            <w:tcW w:type="dxa" w:w="4082"/>
          </w:tcPr>
          <w:p>
            <w:r/>
            <w:r>
              <w:rPr>
                <w:sz w:val="19"/>
              </w:rPr>
              <w:t>Mỗi câu trả lời lưu SQL, tham số, thời điểm và phiên bản định nghĩa</w:t>
            </w:r>
          </w:p>
        </w:tc>
        <w:tc>
          <w:tcPr>
            <w:tcW w:type="dxa" w:w="3685"/>
          </w:tcPr>
          <w:p>
            <w:r/>
            <w:r>
              <w:rPr>
                <w:sz w:val="19"/>
              </w:rPr>
              <w:t>Mọi câu trả lời có số đều có nguồn</w:t>
            </w:r>
          </w:p>
        </w:tc>
      </w:tr>
      <w:tr>
        <w:tc>
          <w:tcPr>
            <w:tcW w:type="dxa" w:w="1701"/>
          </w:tcPr>
          <w:p>
            <w:r/>
            <w:r>
              <w:rPr>
                <w:sz w:val="19"/>
              </w:rPr>
              <w:t>Hiệu năng (QS7)</w:t>
            </w:r>
          </w:p>
        </w:tc>
        <w:tc>
          <w:tcPr>
            <w:tcW w:type="dxa" w:w="4082"/>
          </w:tcPr>
          <w:p>
            <w:r/>
            <w:r>
              <w:rPr>
                <w:sz w:val="19"/>
              </w:rPr>
              <w:t>Đo tải với 5 người dùng đồng thời</w:t>
            </w:r>
          </w:p>
        </w:tc>
        <w:tc>
          <w:tcPr>
            <w:tcW w:type="dxa" w:w="3685"/>
          </w:tcPr>
          <w:p>
            <w:r/>
            <w:r>
              <w:rPr>
                <w:sz w:val="19"/>
              </w:rPr>
              <w:t>Ít nhất 95% yêu cầu hoàn tất dưới 15 giây</w:t>
            </w:r>
          </w:p>
        </w:tc>
      </w:tr>
    </w:tbl>
    <w:p>
      <w:pPr>
        <w:spacing w:after="80"/>
      </w:pPr>
    </w:p>
    <w:p>
      <w:pPr>
        <w:pStyle w:val="Heading1"/>
      </w:pPr>
      <w:r>
        <w:t>F. Chi phí vận hành ước tính (bổ sung mục 11)</w:t>
      </w:r>
    </w:p>
    <w:p>
      <w:pPr>
        <w:spacing w:after="120" w:line="288" w:lineRule="auto"/>
      </w:pPr>
      <w:r>
        <w:rPr>
          <w:b w:val="0"/>
          <w:i w:val="0"/>
        </w:rPr>
        <w:t>Ước tính cho phần dịch vụ AI, theo giá tháng 10/2026; cần xác nhận lại trước khi quyết định. Chi tiết và giả định ở sheet Chi phí của báo cáo kiểm thử.</w:t>
      </w:r>
    </w:p>
    <w:tbl>
      <w:tblPr>
        <w:tblStyle w:val="TableGrid"/>
        <w:tblW w:type="auto" w:w="0"/>
        <w:jc w:val="center"/>
        <w:tblLook w:firstColumn="1" w:firstRow="1" w:lastColumn="0" w:lastRow="0" w:noHBand="0" w:noVBand="1" w:val="04A0"/>
      </w:tblPr>
      <w:tblGrid>
        <w:gridCol w:w="3137"/>
        <w:gridCol w:w="3137"/>
        <w:gridCol w:w="3137"/>
      </w:tblGrid>
      <w:tr>
        <w:tc>
          <w:tcPr>
            <w:tcW w:type="dxa" w:w="2381"/>
            <w:shd w:val="clear" w:color="auto" w:fill="1F4E3D"/>
          </w:tcPr>
          <w:p>
            <w:r/>
            <w:r>
              <w:rPr>
                <w:b/>
                <w:color w:val="FFFFFF"/>
                <w:sz w:val="19"/>
              </w:rPr>
              <w:t>Hướng</w:t>
            </w:r>
          </w:p>
        </w:tc>
        <w:tc>
          <w:tcPr>
            <w:tcW w:type="dxa" w:w="3288"/>
            <w:shd w:val="clear" w:color="auto" w:fill="1F4E3D"/>
          </w:tcPr>
          <w:p>
            <w:r/>
            <w:r>
              <w:rPr>
                <w:b/>
                <w:color w:val="FFFFFF"/>
                <w:sz w:val="19"/>
              </w:rPr>
              <w:t>Chi phí ước tính</w:t>
            </w:r>
          </w:p>
        </w:tc>
        <w:tc>
          <w:tcPr>
            <w:tcW w:type="dxa" w:w="3798"/>
            <w:shd w:val="clear" w:color="auto" w:fill="1F4E3D"/>
          </w:tcPr>
          <w:p>
            <w:r/>
            <w:r>
              <w:rPr>
                <w:b/>
                <w:color w:val="FFFFFF"/>
                <w:sz w:val="19"/>
              </w:rPr>
              <w:t>Ghi chú</w:t>
            </w:r>
          </w:p>
        </w:tc>
      </w:tr>
      <w:tr>
        <w:tc>
          <w:tcPr>
            <w:tcW w:type="dxa" w:w="2381"/>
          </w:tcPr>
          <w:p>
            <w:r/>
            <w:r>
              <w:rPr>
                <w:sz w:val="19"/>
              </w:rPr>
              <w:t>API Claude Haiku 5.5</w:t>
            </w:r>
          </w:p>
        </w:tc>
        <w:tc>
          <w:tcPr>
            <w:tcW w:type="dxa" w:w="3288"/>
          </w:tcPr>
          <w:p>
            <w:r/>
            <w:r>
              <w:rPr>
                <w:sz w:val="19"/>
              </w:rPr>
              <w:t>khoảng 4 USD (5.000 câu), 16 USD (20.000), 79 USD (100.000) mỗi tháng</w:t>
            </w:r>
          </w:p>
        </w:tc>
        <w:tc>
          <w:tcPr>
            <w:tcW w:type="dxa" w:w="3798"/>
          </w:tcPr>
          <w:p>
            <w:r/>
            <w:r>
              <w:rPr>
                <w:sz w:val="19"/>
              </w:rPr>
              <w:t>Kịch bản xấu: mọi câu đều gọi AI; chưa chạy bộ kiểm thử trên Claude</w:t>
            </w:r>
          </w:p>
        </w:tc>
      </w:tr>
      <w:tr>
        <w:tc>
          <w:tcPr>
            <w:tcW w:type="dxa" w:w="2381"/>
          </w:tcPr>
          <w:p>
            <w:r/>
            <w:r>
              <w:rPr>
                <w:sz w:val="19"/>
              </w:rPr>
              <w:t>API Claude Sonnet 5.5</w:t>
            </w:r>
          </w:p>
        </w:tc>
        <w:tc>
          <w:tcPr>
            <w:tcW w:type="dxa" w:w="3288"/>
          </w:tcPr>
          <w:p>
            <w:r/>
            <w:r>
              <w:rPr>
                <w:sz w:val="19"/>
              </w:rPr>
              <w:t>khoảng 20 lần Haiku</w:t>
            </w:r>
          </w:p>
        </w:tc>
        <w:tc>
          <w:tcPr>
            <w:tcW w:type="dxa" w:w="3798"/>
          </w:tcPr>
          <w:p>
            <w:r/>
            <w:r>
              <w:rPr>
                <w:sz w:val="19"/>
              </w:rPr>
              <w:t>Chỉ dùng nếu Haiku chưa đủ chất lượng</w:t>
            </w:r>
          </w:p>
        </w:tc>
      </w:tr>
      <w:tr>
        <w:tc>
          <w:tcPr>
            <w:tcW w:type="dxa" w:w="2381"/>
          </w:tcPr>
          <w:p>
            <w:r/>
            <w:r>
              <w:rPr>
                <w:sz w:val="19"/>
              </w:rPr>
              <w:t>Máy chủ GPU chạy mô hình offline</w:t>
            </w:r>
          </w:p>
        </w:tc>
        <w:tc>
          <w:tcPr>
            <w:tcW w:type="dxa" w:w="3288"/>
          </w:tcPr>
          <w:p>
            <w:r/>
            <w:r>
              <w:rPr>
                <w:sz w:val="19"/>
              </w:rPr>
              <w:t>khoảng 200 đến 500 USD mỗi tháng cố định</w:t>
            </w:r>
          </w:p>
        </w:tc>
        <w:tc>
          <w:tcPr>
            <w:tcW w:type="dxa" w:w="3798"/>
          </w:tcPr>
          <w:p>
            <w:r/>
            <w:r>
              <w:rPr>
                <w:sz w:val="19"/>
              </w:rPr>
              <w:t>Chưa gồm nhân sự; dữ liệu không ra ngoài công ty</w:t>
            </w:r>
          </w:p>
        </w:tc>
      </w:tr>
      <w:tr>
        <w:tc>
          <w:tcPr>
            <w:tcW w:type="dxa" w:w="2381"/>
          </w:tcPr>
          <w:p>
            <w:r/>
            <w:r>
              <w:rPr>
                <w:sz w:val="19"/>
              </w:rPr>
              <w:t>Điểm hòa vốn</w:t>
            </w:r>
          </w:p>
        </w:tc>
        <w:tc>
          <w:tcPr>
            <w:tcW w:type="dxa" w:w="3288"/>
          </w:tcPr>
          <w:p>
            <w:r/>
            <w:r>
              <w:rPr>
                <w:sz w:val="19"/>
              </w:rPr>
              <w:t>khoảng 250.000 câu mỗi tháng</w:t>
            </w:r>
          </w:p>
        </w:tc>
        <w:tc>
          <w:tcPr>
            <w:tcW w:type="dxa" w:w="3798"/>
          </w:tcPr>
          <w:p>
            <w:r/>
            <w:r>
              <w:rPr>
                <w:sz w:val="19"/>
              </w:rPr>
              <w:t>Dưới mức này API rẻ hơn</w:t>
            </w:r>
          </w:p>
        </w:tc>
      </w:tr>
    </w:tbl>
    <w:p>
      <w:pPr>
        <w:spacing w:after="80"/>
      </w:pPr>
    </w:p>
    <w:p>
      <w:pPr>
        <w:spacing w:after="120" w:line="288" w:lineRule="auto"/>
      </w:pPr>
      <w:r>
        <w:rPr>
          <w:b w:val="0"/>
          <w:i/>
        </w:rPr>
        <w:t>Chi phí nhân sự vận hành: [chưa có ước tính, cần điền].</w:t>
      </w:r>
    </w:p>
    <w:p>
      <w:pPr>
        <w:pStyle w:val="Heading1"/>
      </w:pPr>
      <w:r>
        <w:t>G. Rủi ro cập nhật (bổ sung mục 11)</w:t>
      </w:r>
    </w:p>
    <w:p>
      <w:pPr>
        <w:pStyle w:val="ListBullet"/>
        <w:spacing w:after="40"/>
      </w:pPr>
      <w:r>
        <w:t>Phụ thuộc hạn mức dịch vụ AI: ảnh hưởng hiệu năng khi nhiều người dùng đồng thời; giảm thiểu bằng gói trả phí hoặc mô hình offline và thông báo bận rõ ràng.</w:t>
      </w:r>
    </w:p>
    <w:p>
      <w:pPr>
        <w:pStyle w:val="ListBullet"/>
        <w:spacing w:after="40"/>
      </w:pPr>
      <w:r>
        <w:t>Dữ liệu gửi ra dịch vụ AI: giảm thiểu bằng việc chỉ gửi câu hỏi và mô tả chỉ số, thay số tiền trong ngữ cảnh; còn cần rà soát điều khoản nhà cung cấp và phân loại dữ liệu.</w:t>
      </w:r>
    </w:p>
    <w:p>
      <w:pPr>
        <w:pStyle w:val="Heading1"/>
      </w:pPr>
      <w:r>
        <w:t>H. Thứ tự xử lý yêu cầu (sửa mục 6.1 và 6.2)</w:t>
      </w:r>
    </w:p>
    <w:p>
      <w:pPr>
        <w:pStyle w:val="ListBullet"/>
        <w:spacing w:after="40"/>
      </w:pPr>
      <w:r>
        <w:t>Mục 6.2 của v1.0 mô tả từ chối sau khi AI hiểu câu hỏi. Thực tế vai trò quản trị IT bị từ chối ngay từ đầu, trước khi gọi AI và trước khi chạm kho dữ liệu; không câu hỏi nào của vai trò này tới được bước hiểu câu.</w:t>
      </w:r>
    </w:p>
    <w:p>
      <w:pPr>
        <w:pStyle w:val="ListBullet"/>
        <w:spacing w:after="40"/>
      </w:pPr>
      <w:r>
        <w:t>Mục 6.1 bước 4 coi AI luôn là bên hiểu câu hỏi. Thực tế câu rõ ràng được nhận diện bằng từ điển nghiệp vụ (chỉ số, chiều, kỳ, nhà máy) và chỉ những câu từ điển không xử lý được mới gọi AI. Hai đường cho ra cùng một phiếu yêu cầu và đi qua cùng bước phân quyền.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21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F76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421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