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nhậ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dữ liệ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từ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DBLP.xml --&gt; CSDL Quan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hệ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Cậ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nhậ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tấ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cả dữ liệ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trong DBLP.xml (không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để só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bấ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kỳ cá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tables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sẽ cậ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nhậ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 xml:space="preserve">author, author_paper, conference, journal, magazine, paper,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 xml:space="preserve">+  </w:t>
      </w: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 xml:space="preserve">Tạ</w:t>
      </w: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 xml:space="preserve">o thêm </w:t>
      </w: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 xml:space="preserve">table publisher(...),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 xml:space="preserve">+ Thêm </w:t>
      </w: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 xml:space="preserve">thuộ</w:t>
      </w: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 xml:space="preserve">tí</w:t>
      </w: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 xml:space="preserve">nh cho table 'paper' </w:t>
      </w: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 xml:space="preserve">để</w:t>
      </w: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 xml:space="preserve"> lưu DBLP-key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 xml:space="preserve">+ Thêm </w:t>
      </w: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 xml:space="preserve">thuộ</w:t>
      </w: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 xml:space="preserve">tí</w:t>
      </w: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 xml:space="preserve">ưu paperType(article, inproceedings, proccedding, book, phdthesis, </w:t>
      </w: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i/>
          <w:color w:val="004DBB"/>
          <w:spacing w:val="0"/>
          <w:position w:val="0"/>
          <w:sz w:val="22"/>
          <w:shd w:fill="auto" w:val="clear"/>
        </w:rPr>
        <w:t xml:space="preserve">master thesis, www ...)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