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C433" w14:textId="77777777" w:rsidR="009E6F10" w:rsidRPr="00EA2123" w:rsidRDefault="000859DC" w:rsidP="000859DC">
      <w:pPr>
        <w:rPr>
          <w:sz w:val="24"/>
          <w:szCs w:val="24"/>
          <w:lang w:val="en-US"/>
        </w:rPr>
      </w:pPr>
      <w:r w:rsidRPr="00EA2123">
        <w:rPr>
          <w:sz w:val="24"/>
          <w:szCs w:val="24"/>
          <w:lang w:val="en-US"/>
        </w:rPr>
        <w:t>In this section, the study will develop a multivariate time series model using the daily stock price of HPG, HSG, and NKG to forecast the future price of the three stock code</w:t>
      </w:r>
      <w:r w:rsidR="003F2501" w:rsidRPr="00EA2123">
        <w:rPr>
          <w:sz w:val="24"/>
          <w:szCs w:val="24"/>
          <w:lang w:val="en-US"/>
        </w:rPr>
        <w:t>s</w:t>
      </w:r>
      <w:r w:rsidR="009E6F10" w:rsidRPr="00EA2123">
        <w:rPr>
          <w:sz w:val="24"/>
          <w:szCs w:val="24"/>
          <w:lang w:val="en-US"/>
        </w:rPr>
        <w:t>.</w:t>
      </w:r>
    </w:p>
    <w:p w14:paraId="4866B7FD" w14:textId="14BACA13" w:rsidR="000D1468" w:rsidRPr="00EA2123" w:rsidRDefault="009E7753" w:rsidP="00BA1C4D">
      <w:pPr>
        <w:jc w:val="center"/>
        <w:rPr>
          <w:sz w:val="24"/>
          <w:szCs w:val="24"/>
          <w:lang w:val="en-US"/>
        </w:rPr>
      </w:pPr>
      <w:r w:rsidRPr="00EA2123">
        <w:rPr>
          <w:noProof/>
          <w:sz w:val="24"/>
          <w:szCs w:val="24"/>
          <w:lang w:val="en-US"/>
        </w:rPr>
        <w:drawing>
          <wp:inline distT="0" distB="0" distL="0" distR="0" wp14:anchorId="38B7F31C" wp14:editId="7345DEDA">
            <wp:extent cx="3919996" cy="2419198"/>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678" cy="2434430"/>
                    </a:xfrm>
                    <a:prstGeom prst="rect">
                      <a:avLst/>
                    </a:prstGeom>
                    <a:noFill/>
                  </pic:spPr>
                </pic:pic>
              </a:graphicData>
            </a:graphic>
          </wp:inline>
        </w:drawing>
      </w:r>
    </w:p>
    <w:p w14:paraId="54DCB7CF" w14:textId="24D5E3B5" w:rsidR="006B7BD1" w:rsidRPr="00EA2123" w:rsidRDefault="0000513E" w:rsidP="006B7BD1">
      <w:pPr>
        <w:rPr>
          <w:sz w:val="24"/>
          <w:szCs w:val="24"/>
          <w:lang w:val="en-US"/>
        </w:rPr>
      </w:pPr>
      <w:r w:rsidRPr="00EA2123">
        <w:rPr>
          <w:sz w:val="24"/>
          <w:szCs w:val="24"/>
          <w:lang w:val="en-US"/>
        </w:rPr>
        <w:t>All th</w:t>
      </w:r>
      <w:r w:rsidR="00BF3FF8" w:rsidRPr="00EA2123">
        <w:rPr>
          <w:sz w:val="24"/>
          <w:szCs w:val="24"/>
          <w:lang w:val="en-US"/>
        </w:rPr>
        <w:t>ree</w:t>
      </w:r>
      <w:r w:rsidRPr="00EA2123">
        <w:rPr>
          <w:sz w:val="24"/>
          <w:szCs w:val="24"/>
          <w:lang w:val="en-US"/>
        </w:rPr>
        <w:t xml:space="preserve"> series follow a common trend</w:t>
      </w:r>
      <w:r w:rsidR="00E6372E" w:rsidRPr="00EA2123">
        <w:rPr>
          <w:sz w:val="24"/>
          <w:szCs w:val="24"/>
          <w:lang w:val="en-US"/>
        </w:rPr>
        <w:t>: i</w:t>
      </w:r>
      <w:r w:rsidR="00AE17D2" w:rsidRPr="00EA2123">
        <w:rPr>
          <w:sz w:val="24"/>
          <w:szCs w:val="24"/>
          <w:lang w:val="en-US"/>
        </w:rPr>
        <w:t xml:space="preserve">ncrease in the year 2021 and decrease </w:t>
      </w:r>
      <w:r w:rsidR="0068038B" w:rsidRPr="00EA2123">
        <w:rPr>
          <w:sz w:val="24"/>
          <w:szCs w:val="24"/>
          <w:lang w:val="en-US"/>
        </w:rPr>
        <w:t>in 2022</w:t>
      </w:r>
      <w:r w:rsidR="00922994" w:rsidRPr="00EA2123">
        <w:rPr>
          <w:sz w:val="24"/>
          <w:szCs w:val="24"/>
          <w:lang w:val="en-US"/>
        </w:rPr>
        <w:t>.</w:t>
      </w:r>
      <w:r w:rsidR="0042536D" w:rsidRPr="00EA2123">
        <w:rPr>
          <w:sz w:val="24"/>
          <w:szCs w:val="24"/>
          <w:lang w:val="en-US"/>
        </w:rPr>
        <w:t xml:space="preserve"> </w:t>
      </w:r>
      <w:r w:rsidR="00922994" w:rsidRPr="00EA2123">
        <w:rPr>
          <w:sz w:val="24"/>
          <w:szCs w:val="24"/>
          <w:lang w:val="en-US"/>
        </w:rPr>
        <w:t>A</w:t>
      </w:r>
      <w:r w:rsidR="009D45DC" w:rsidRPr="00EA2123">
        <w:rPr>
          <w:sz w:val="24"/>
          <w:szCs w:val="24"/>
          <w:lang w:val="en-US"/>
        </w:rPr>
        <w:t xml:space="preserve">dditionally, </w:t>
      </w:r>
      <w:r w:rsidR="00382B67" w:rsidRPr="00EA2123">
        <w:rPr>
          <w:sz w:val="24"/>
          <w:szCs w:val="24"/>
          <w:lang w:val="en-US"/>
        </w:rPr>
        <w:t>stock price of all three groups</w:t>
      </w:r>
      <w:r w:rsidR="00A25AE8" w:rsidRPr="00EA2123">
        <w:rPr>
          <w:sz w:val="24"/>
          <w:szCs w:val="24"/>
          <w:lang w:val="en-US"/>
        </w:rPr>
        <w:t xml:space="preserve"> peaked in October of 2021</w:t>
      </w:r>
      <w:r w:rsidR="003D55BB" w:rsidRPr="00EA2123">
        <w:rPr>
          <w:sz w:val="24"/>
          <w:szCs w:val="24"/>
          <w:lang w:val="en-US"/>
        </w:rPr>
        <w:t xml:space="preserve"> and hit</w:t>
      </w:r>
      <w:r w:rsidR="00F80D27" w:rsidRPr="00EA2123">
        <w:rPr>
          <w:sz w:val="24"/>
          <w:szCs w:val="24"/>
          <w:lang w:val="en-US"/>
        </w:rPr>
        <w:t xml:space="preserve"> their bottoms in November of 2022</w:t>
      </w:r>
      <w:r w:rsidR="0042536D" w:rsidRPr="00EA2123">
        <w:rPr>
          <w:sz w:val="24"/>
          <w:szCs w:val="24"/>
          <w:lang w:val="en-US"/>
        </w:rPr>
        <w:t xml:space="preserve">, which is an indication that they </w:t>
      </w:r>
      <w:r w:rsidR="00BE279F" w:rsidRPr="00EA2123">
        <w:rPr>
          <w:sz w:val="24"/>
          <w:szCs w:val="24"/>
          <w:lang w:val="en-US"/>
        </w:rPr>
        <w:t>may be</w:t>
      </w:r>
      <w:r w:rsidR="0042536D" w:rsidRPr="00EA2123">
        <w:rPr>
          <w:sz w:val="24"/>
          <w:szCs w:val="24"/>
          <w:lang w:val="en-US"/>
        </w:rPr>
        <w:t xml:space="preserve"> cointegrated.</w:t>
      </w:r>
    </w:p>
    <w:p w14:paraId="1E6D3460" w14:textId="4F648C04" w:rsidR="000859DC" w:rsidRPr="00EA2123" w:rsidRDefault="000D5789" w:rsidP="000859DC">
      <w:pPr>
        <w:rPr>
          <w:sz w:val="24"/>
          <w:szCs w:val="24"/>
          <w:lang w:val="en-US"/>
        </w:rPr>
      </w:pPr>
      <w:r w:rsidRPr="00EA2123">
        <w:rPr>
          <w:sz w:val="24"/>
          <w:szCs w:val="24"/>
          <w:lang w:val="en-US"/>
        </w:rPr>
        <w:t>In the previous section</w:t>
      </w:r>
      <w:r w:rsidR="009E6F10" w:rsidRPr="00EA2123">
        <w:rPr>
          <w:sz w:val="24"/>
          <w:szCs w:val="24"/>
          <w:lang w:val="en-US"/>
        </w:rPr>
        <w:t>s</w:t>
      </w:r>
      <w:r w:rsidRPr="00EA2123">
        <w:rPr>
          <w:sz w:val="24"/>
          <w:szCs w:val="24"/>
          <w:lang w:val="en-US"/>
        </w:rPr>
        <w:t>, the three closing price series were shown to be stationary after first-order difference</w:t>
      </w:r>
      <w:r w:rsidR="005A7D5C" w:rsidRPr="00EA2123">
        <w:rPr>
          <w:sz w:val="24"/>
          <w:szCs w:val="24"/>
          <w:lang w:val="en-US"/>
        </w:rPr>
        <w:t>.</w:t>
      </w:r>
      <w:r w:rsidR="009A4E52" w:rsidRPr="00EA2123">
        <w:rPr>
          <w:sz w:val="24"/>
          <w:szCs w:val="24"/>
          <w:lang w:val="en-US"/>
        </w:rPr>
        <w:t xml:space="preserve"> The series’ </w:t>
      </w:r>
      <w:r w:rsidR="0036640B" w:rsidRPr="00EA2123">
        <w:rPr>
          <w:sz w:val="24"/>
          <w:szCs w:val="24"/>
          <w:lang w:val="en-US"/>
        </w:rPr>
        <w:t>cointegration</w:t>
      </w:r>
      <w:r w:rsidRPr="00EA2123">
        <w:rPr>
          <w:sz w:val="24"/>
          <w:szCs w:val="24"/>
          <w:lang w:val="en-US"/>
        </w:rPr>
        <w:t xml:space="preserve"> relationships</w:t>
      </w:r>
      <w:r w:rsidR="0036640B" w:rsidRPr="00EA2123">
        <w:rPr>
          <w:sz w:val="24"/>
          <w:szCs w:val="24"/>
          <w:lang w:val="en-US"/>
        </w:rPr>
        <w:t xml:space="preserve"> </w:t>
      </w:r>
      <w:r w:rsidRPr="00EA2123">
        <w:rPr>
          <w:sz w:val="24"/>
          <w:szCs w:val="24"/>
          <w:lang w:val="en-US"/>
        </w:rPr>
        <w:t>are</w:t>
      </w:r>
      <w:r w:rsidR="0036640B" w:rsidRPr="00EA2123">
        <w:rPr>
          <w:sz w:val="24"/>
          <w:szCs w:val="24"/>
          <w:lang w:val="en-US"/>
        </w:rPr>
        <w:t xml:space="preserve"> examined using the Johansen test: </w:t>
      </w:r>
    </w:p>
    <w:tbl>
      <w:tblPr>
        <w:tblStyle w:val="TableGrid"/>
        <w:tblW w:w="0" w:type="auto"/>
        <w:tblLook w:val="04A0" w:firstRow="1" w:lastRow="0" w:firstColumn="1" w:lastColumn="0" w:noHBand="0" w:noVBand="1"/>
      </w:tblPr>
      <w:tblGrid>
        <w:gridCol w:w="1803"/>
        <w:gridCol w:w="1803"/>
        <w:gridCol w:w="1803"/>
        <w:gridCol w:w="1803"/>
        <w:gridCol w:w="1804"/>
      </w:tblGrid>
      <w:tr w:rsidR="0036640B" w:rsidRPr="00EA2123" w14:paraId="0816FA5C" w14:textId="77777777" w:rsidTr="0036640B">
        <w:tc>
          <w:tcPr>
            <w:tcW w:w="1803" w:type="dxa"/>
          </w:tcPr>
          <w:p w14:paraId="33F4F305" w14:textId="7777777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p>
        </w:tc>
        <w:tc>
          <w:tcPr>
            <w:tcW w:w="1803" w:type="dxa"/>
          </w:tcPr>
          <w:p w14:paraId="571BDD82" w14:textId="6E43C282"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Test</w:t>
            </w:r>
          </w:p>
        </w:tc>
        <w:tc>
          <w:tcPr>
            <w:tcW w:w="1803" w:type="dxa"/>
          </w:tcPr>
          <w:p w14:paraId="630DA422" w14:textId="16962152"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10%</w:t>
            </w:r>
          </w:p>
        </w:tc>
        <w:tc>
          <w:tcPr>
            <w:tcW w:w="1803" w:type="dxa"/>
          </w:tcPr>
          <w:p w14:paraId="1D5E9960" w14:textId="594F1BE0"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5%</w:t>
            </w:r>
          </w:p>
        </w:tc>
        <w:tc>
          <w:tcPr>
            <w:tcW w:w="1804" w:type="dxa"/>
          </w:tcPr>
          <w:p w14:paraId="512EB65D" w14:textId="3F925639"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w:t>
            </w:r>
          </w:p>
        </w:tc>
      </w:tr>
      <w:tr w:rsidR="0036640B" w:rsidRPr="00EA2123" w14:paraId="1DF19DB1" w14:textId="77777777" w:rsidTr="0036640B">
        <w:tc>
          <w:tcPr>
            <w:tcW w:w="1803" w:type="dxa"/>
          </w:tcPr>
          <w:p w14:paraId="748F5676" w14:textId="3CAEEBC6"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&lt;= 2</w:t>
            </w:r>
          </w:p>
        </w:tc>
        <w:tc>
          <w:tcPr>
            <w:tcW w:w="1803" w:type="dxa"/>
          </w:tcPr>
          <w:p w14:paraId="39F4F22A" w14:textId="27FBFBB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2.79</w:t>
            </w:r>
          </w:p>
        </w:tc>
        <w:tc>
          <w:tcPr>
            <w:tcW w:w="1803" w:type="dxa"/>
          </w:tcPr>
          <w:p w14:paraId="04FB147F" w14:textId="0D0A014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6.50</w:t>
            </w:r>
          </w:p>
        </w:tc>
        <w:tc>
          <w:tcPr>
            <w:tcW w:w="1803" w:type="dxa"/>
          </w:tcPr>
          <w:p w14:paraId="2F4DFA72" w14:textId="37C441A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8.18</w:t>
            </w:r>
          </w:p>
        </w:tc>
        <w:tc>
          <w:tcPr>
            <w:tcW w:w="1804" w:type="dxa"/>
          </w:tcPr>
          <w:p w14:paraId="5D8DA4A1" w14:textId="7F1764C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11.65</w:t>
            </w:r>
          </w:p>
        </w:tc>
      </w:tr>
      <w:tr w:rsidR="0036640B" w:rsidRPr="00EA2123" w14:paraId="4D500E1D" w14:textId="77777777" w:rsidTr="0036640B">
        <w:tc>
          <w:tcPr>
            <w:tcW w:w="1803" w:type="dxa"/>
          </w:tcPr>
          <w:p w14:paraId="593B43AD" w14:textId="282B77A4"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&lt;= 1</w:t>
            </w:r>
          </w:p>
        </w:tc>
        <w:tc>
          <w:tcPr>
            <w:tcW w:w="1803" w:type="dxa"/>
          </w:tcPr>
          <w:p w14:paraId="51A01C6A" w14:textId="42D61F0C"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13.04</w:t>
            </w:r>
          </w:p>
        </w:tc>
        <w:tc>
          <w:tcPr>
            <w:tcW w:w="1803" w:type="dxa"/>
          </w:tcPr>
          <w:p w14:paraId="066EDCD0" w14:textId="608A417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12.91</w:t>
            </w:r>
          </w:p>
        </w:tc>
        <w:tc>
          <w:tcPr>
            <w:tcW w:w="1803" w:type="dxa"/>
          </w:tcPr>
          <w:p w14:paraId="6619C3EB" w14:textId="30AE598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14.90</w:t>
            </w:r>
          </w:p>
        </w:tc>
        <w:tc>
          <w:tcPr>
            <w:tcW w:w="1804" w:type="dxa"/>
          </w:tcPr>
          <w:p w14:paraId="057DFC98" w14:textId="418C1640"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19.19</w:t>
            </w:r>
          </w:p>
        </w:tc>
      </w:tr>
      <w:tr w:rsidR="0036640B" w:rsidRPr="00EA2123" w14:paraId="2994AA63" w14:textId="77777777" w:rsidTr="0036640B">
        <w:tc>
          <w:tcPr>
            <w:tcW w:w="1803" w:type="dxa"/>
          </w:tcPr>
          <w:p w14:paraId="133A3F89" w14:textId="6C02A11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 0</w:t>
            </w:r>
          </w:p>
        </w:tc>
        <w:tc>
          <w:tcPr>
            <w:tcW w:w="1803" w:type="dxa"/>
          </w:tcPr>
          <w:p w14:paraId="3CA42BCF" w14:textId="1FFE7A1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20.35</w:t>
            </w:r>
          </w:p>
        </w:tc>
        <w:tc>
          <w:tcPr>
            <w:tcW w:w="1803" w:type="dxa"/>
          </w:tcPr>
          <w:p w14:paraId="01317128" w14:textId="2B688684"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18.90</w:t>
            </w:r>
          </w:p>
        </w:tc>
        <w:tc>
          <w:tcPr>
            <w:tcW w:w="1803" w:type="dxa"/>
          </w:tcPr>
          <w:p w14:paraId="60CEAD8C" w14:textId="11CA9C9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21.07</w:t>
            </w:r>
          </w:p>
        </w:tc>
        <w:tc>
          <w:tcPr>
            <w:tcW w:w="1804" w:type="dxa"/>
          </w:tcPr>
          <w:p w14:paraId="73E4BF88" w14:textId="45A34258"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25.75</w:t>
            </w:r>
          </w:p>
        </w:tc>
      </w:tr>
    </w:tbl>
    <w:p w14:paraId="2A8B6934" w14:textId="77777777" w:rsidR="0036640B" w:rsidRPr="00EA2123" w:rsidRDefault="0036640B" w:rsidP="00366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lang w:eastAsia="en-GB"/>
        </w:rPr>
      </w:pPr>
    </w:p>
    <w:p w14:paraId="4BF4B45A" w14:textId="06AE0A83" w:rsidR="003F2501" w:rsidRPr="00EA2123" w:rsidRDefault="0036640B" w:rsidP="000859DC">
      <w:pPr>
        <w:rPr>
          <w:sz w:val="24"/>
          <w:szCs w:val="24"/>
          <w:lang w:val="en-US"/>
        </w:rPr>
      </w:pPr>
      <w:r w:rsidRPr="00EA2123">
        <w:rPr>
          <w:sz w:val="24"/>
          <w:szCs w:val="24"/>
          <w:lang w:val="en-US"/>
        </w:rPr>
        <w:t xml:space="preserve">The first hypothesis r = 0 </w:t>
      </w:r>
      <w:r w:rsidR="004972DB" w:rsidRPr="00EA2123">
        <w:rPr>
          <w:sz w:val="24"/>
          <w:szCs w:val="24"/>
          <w:lang w:val="en-US"/>
        </w:rPr>
        <w:t>tests</w:t>
      </w:r>
      <w:r w:rsidRPr="00EA2123">
        <w:rPr>
          <w:sz w:val="24"/>
          <w:szCs w:val="24"/>
          <w:lang w:val="en-US"/>
        </w:rPr>
        <w:t xml:space="preserve"> for the presence of cointegrat</w:t>
      </w:r>
      <w:r w:rsidR="004972DB" w:rsidRPr="00EA2123">
        <w:rPr>
          <w:sz w:val="24"/>
          <w:szCs w:val="24"/>
          <w:lang w:val="en-US"/>
        </w:rPr>
        <w:t xml:space="preserve">ion. As can be seen from the test result, the test statistic did not exceed the 5% level, therefore there is not enough evidence to reject the null hypothesis of no cointegration relationship between the series. </w:t>
      </w:r>
      <w:r w:rsidR="008D701B" w:rsidRPr="00EA2123">
        <w:rPr>
          <w:sz w:val="24"/>
          <w:szCs w:val="24"/>
          <w:lang w:val="en-US"/>
        </w:rPr>
        <w:t>Furthermore, by testing the stationary of residual</w:t>
      </w:r>
      <w:r w:rsidR="003C5BD0" w:rsidRPr="00EA2123">
        <w:rPr>
          <w:sz w:val="24"/>
          <w:szCs w:val="24"/>
          <w:lang w:val="en-US"/>
        </w:rPr>
        <w:t xml:space="preserve"> using Augmented Dickey-Fuller</w:t>
      </w:r>
      <w:r w:rsidR="0092222A" w:rsidRPr="00EA2123">
        <w:rPr>
          <w:sz w:val="24"/>
          <w:szCs w:val="24"/>
          <w:lang w:val="en-US"/>
        </w:rPr>
        <w:t xml:space="preserve"> unit root</w:t>
      </w:r>
      <w:r w:rsidR="003C5BD0" w:rsidRPr="00EA2123">
        <w:rPr>
          <w:sz w:val="24"/>
          <w:szCs w:val="24"/>
          <w:lang w:val="en-US"/>
        </w:rPr>
        <w:t xml:space="preserve"> test</w:t>
      </w:r>
      <w:r w:rsidR="008D701B" w:rsidRPr="00EA2123">
        <w:rPr>
          <w:sz w:val="24"/>
          <w:szCs w:val="24"/>
          <w:lang w:val="en-US"/>
        </w:rPr>
        <w:t xml:space="preserve">, </w:t>
      </w:r>
      <w:r w:rsidR="005C59F5" w:rsidRPr="00EA2123">
        <w:rPr>
          <w:sz w:val="24"/>
          <w:szCs w:val="24"/>
          <w:lang w:val="en-US"/>
        </w:rPr>
        <w:t>there is enough evidence to show that the residual is stationary at 5% level:</w:t>
      </w:r>
    </w:p>
    <w:tbl>
      <w:tblPr>
        <w:tblStyle w:val="TableGrid"/>
        <w:tblW w:w="0" w:type="auto"/>
        <w:tblLook w:val="04A0" w:firstRow="1" w:lastRow="0" w:firstColumn="1" w:lastColumn="0" w:noHBand="0" w:noVBand="1"/>
      </w:tblPr>
      <w:tblGrid>
        <w:gridCol w:w="1815"/>
        <w:gridCol w:w="1862"/>
        <w:gridCol w:w="1862"/>
        <w:gridCol w:w="1782"/>
        <w:gridCol w:w="1695"/>
      </w:tblGrid>
      <w:tr w:rsidR="005C59F5" w:rsidRPr="00EA2123" w14:paraId="5FCEEDB8" w14:textId="196E6DC1" w:rsidTr="005C59F5">
        <w:tc>
          <w:tcPr>
            <w:tcW w:w="1815" w:type="dxa"/>
          </w:tcPr>
          <w:p w14:paraId="67896D13" w14:textId="77777777" w:rsidR="005C59F5" w:rsidRPr="00EA2123" w:rsidRDefault="005C59F5" w:rsidP="00D44F45">
            <w:pPr>
              <w:jc w:val="center"/>
              <w:rPr>
                <w:rFonts w:ascii="Times New Roman" w:hAnsi="Times New Roman" w:cs="Times New Roman"/>
                <w:sz w:val="24"/>
                <w:szCs w:val="24"/>
                <w:lang w:val="en-US"/>
              </w:rPr>
            </w:pPr>
          </w:p>
        </w:tc>
        <w:tc>
          <w:tcPr>
            <w:tcW w:w="1862" w:type="dxa"/>
          </w:tcPr>
          <w:p w14:paraId="1E2A71F5" w14:textId="20BE8795"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Test</w:t>
            </w:r>
          </w:p>
        </w:tc>
        <w:tc>
          <w:tcPr>
            <w:tcW w:w="1862" w:type="dxa"/>
          </w:tcPr>
          <w:p w14:paraId="5D6287BD" w14:textId="5D7F1F5A"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1%</w:t>
            </w:r>
          </w:p>
        </w:tc>
        <w:tc>
          <w:tcPr>
            <w:tcW w:w="1782" w:type="dxa"/>
          </w:tcPr>
          <w:p w14:paraId="27FE3F4B" w14:textId="45E4EB0B"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5%</w:t>
            </w:r>
          </w:p>
        </w:tc>
        <w:tc>
          <w:tcPr>
            <w:tcW w:w="1695" w:type="dxa"/>
          </w:tcPr>
          <w:p w14:paraId="3C755357" w14:textId="7B211DA6" w:rsidR="005C59F5" w:rsidRPr="00EA2123" w:rsidRDefault="005C59F5" w:rsidP="00D44F45">
            <w:pPr>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10%</w:t>
            </w:r>
          </w:p>
        </w:tc>
      </w:tr>
      <w:tr w:rsidR="005C59F5" w:rsidRPr="00EA2123" w14:paraId="76AC83F5" w14:textId="7C0AFC5B" w:rsidTr="00D44F45">
        <w:trPr>
          <w:trHeight w:val="278"/>
        </w:trPr>
        <w:tc>
          <w:tcPr>
            <w:tcW w:w="1815" w:type="dxa"/>
          </w:tcPr>
          <w:p w14:paraId="2082A501" w14:textId="68E176CE"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Tau1</w:t>
            </w:r>
          </w:p>
        </w:tc>
        <w:tc>
          <w:tcPr>
            <w:tcW w:w="1862" w:type="dxa"/>
          </w:tcPr>
          <w:p w14:paraId="4F00E630" w14:textId="44F33CC2"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-3.8345</w:t>
            </w:r>
          </w:p>
        </w:tc>
        <w:tc>
          <w:tcPr>
            <w:tcW w:w="1862" w:type="dxa"/>
          </w:tcPr>
          <w:p w14:paraId="708B9C92" w14:textId="52778D21"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-2.58</w:t>
            </w:r>
          </w:p>
        </w:tc>
        <w:tc>
          <w:tcPr>
            <w:tcW w:w="1782" w:type="dxa"/>
          </w:tcPr>
          <w:p w14:paraId="370284C6" w14:textId="4C015C66"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-1.95</w:t>
            </w:r>
          </w:p>
        </w:tc>
        <w:tc>
          <w:tcPr>
            <w:tcW w:w="1695" w:type="dxa"/>
          </w:tcPr>
          <w:p w14:paraId="4C802166" w14:textId="7D0E94FA"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-1.62</w:t>
            </w:r>
          </w:p>
        </w:tc>
      </w:tr>
    </w:tbl>
    <w:p w14:paraId="5570C174" w14:textId="77777777" w:rsidR="0040660F" w:rsidRPr="00EA2123" w:rsidRDefault="0040660F" w:rsidP="000859DC">
      <w:pPr>
        <w:rPr>
          <w:sz w:val="24"/>
          <w:szCs w:val="24"/>
          <w:lang w:val="en-US"/>
        </w:rPr>
      </w:pPr>
    </w:p>
    <w:p w14:paraId="619AB953" w14:textId="74ED7A11" w:rsidR="00A70927" w:rsidRPr="00EA2123" w:rsidRDefault="00DD7A89" w:rsidP="000859DC">
      <w:pPr>
        <w:rPr>
          <w:sz w:val="24"/>
          <w:szCs w:val="24"/>
          <w:lang w:val="en-US"/>
        </w:rPr>
      </w:pPr>
      <w:r w:rsidRPr="00EA2123">
        <w:rPr>
          <w:sz w:val="24"/>
          <w:szCs w:val="24"/>
          <w:lang w:val="en-US"/>
        </w:rPr>
        <w:t>Based on the test result, the three series don’t have cointegration relationships and they are stationary in residuals, thus, there is no need to develop an error correction model</w:t>
      </w:r>
      <w:r w:rsidR="00F27473" w:rsidRPr="00EA2123">
        <w:rPr>
          <w:sz w:val="24"/>
          <w:szCs w:val="24"/>
          <w:lang w:val="en-US"/>
        </w:rPr>
        <w:t xml:space="preserve"> (ECM)</w:t>
      </w:r>
      <w:r w:rsidRPr="00EA2123">
        <w:rPr>
          <w:sz w:val="24"/>
          <w:szCs w:val="24"/>
          <w:lang w:val="en-US"/>
        </w:rPr>
        <w:t>. To decide whether the three stock price series have causality relationship on each other, the Granger causality test gave following result:</w:t>
      </w:r>
    </w:p>
    <w:p w14:paraId="6C727076" w14:textId="77777777" w:rsidR="008B3457" w:rsidRPr="00EA2123" w:rsidRDefault="008B3457" w:rsidP="000859DC">
      <w:pPr>
        <w:rPr>
          <w:sz w:val="24"/>
          <w:szCs w:val="24"/>
          <w:lang w:val="en-US"/>
        </w:rPr>
      </w:pPr>
    </w:p>
    <w:p w14:paraId="04063A5C" w14:textId="77777777" w:rsidR="00EB342B" w:rsidRPr="00EA2123" w:rsidRDefault="00EB342B" w:rsidP="000859DC">
      <w:pPr>
        <w:rPr>
          <w:sz w:val="24"/>
          <w:szCs w:val="24"/>
          <w:lang w:val="en-US"/>
        </w:rPr>
      </w:pPr>
    </w:p>
    <w:tbl>
      <w:tblPr>
        <w:tblStyle w:val="TableGrid"/>
        <w:tblW w:w="0" w:type="auto"/>
        <w:tblLook w:val="04A0" w:firstRow="1" w:lastRow="0" w:firstColumn="1" w:lastColumn="0" w:noHBand="0" w:noVBand="1"/>
      </w:tblPr>
      <w:tblGrid>
        <w:gridCol w:w="2353"/>
        <w:gridCol w:w="1888"/>
        <w:gridCol w:w="2353"/>
        <w:gridCol w:w="2422"/>
      </w:tblGrid>
      <w:tr w:rsidR="00516AAE" w:rsidRPr="00EA2123" w14:paraId="44940D86" w14:textId="77777777" w:rsidTr="00516AAE">
        <w:trPr>
          <w:trHeight w:val="440"/>
        </w:trPr>
        <w:tc>
          <w:tcPr>
            <w:tcW w:w="2353" w:type="dxa"/>
          </w:tcPr>
          <w:p w14:paraId="6CF3A356" w14:textId="1A7F98EE"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lastRenderedPageBreak/>
              <w:t>X (differenced)</w:t>
            </w:r>
          </w:p>
        </w:tc>
        <w:tc>
          <w:tcPr>
            <w:tcW w:w="1888" w:type="dxa"/>
            <w:tcBorders>
              <w:bottom w:val="nil"/>
            </w:tcBorders>
          </w:tcPr>
          <w:p w14:paraId="09429A26" w14:textId="396D2655" w:rsidR="00516AAE" w:rsidRPr="00EA2123" w:rsidRDefault="00516AAE" w:rsidP="00516AAE">
            <w:pPr>
              <w:jc w:val="center"/>
              <w:rPr>
                <w:rFonts w:ascii="Times New Roman" w:hAnsi="Times New Roman" w:cs="Times New Roman"/>
                <w:sz w:val="24"/>
                <w:szCs w:val="24"/>
                <w:lang w:val="en-US"/>
              </w:rPr>
            </w:pPr>
          </w:p>
        </w:tc>
        <w:tc>
          <w:tcPr>
            <w:tcW w:w="2353" w:type="dxa"/>
          </w:tcPr>
          <w:p w14:paraId="59CE0504" w14:textId="3BAA246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Y (differenced)</w:t>
            </w:r>
          </w:p>
        </w:tc>
        <w:tc>
          <w:tcPr>
            <w:tcW w:w="2422" w:type="dxa"/>
          </w:tcPr>
          <w:p w14:paraId="4FA33E26" w14:textId="1EEE2B2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P-value</w:t>
            </w:r>
          </w:p>
        </w:tc>
      </w:tr>
      <w:tr w:rsidR="00516AAE" w:rsidRPr="00EA2123" w14:paraId="40A72BF2" w14:textId="77777777" w:rsidTr="004B1B30">
        <w:trPr>
          <w:trHeight w:val="260"/>
        </w:trPr>
        <w:tc>
          <w:tcPr>
            <w:tcW w:w="2353" w:type="dxa"/>
            <w:tcBorders>
              <w:right w:val="single" w:sz="4" w:space="0" w:color="auto"/>
            </w:tcBorders>
          </w:tcPr>
          <w:p w14:paraId="6B674556" w14:textId="2BE6CB3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1888" w:type="dxa"/>
            <w:tcBorders>
              <w:top w:val="nil"/>
              <w:left w:val="single" w:sz="4" w:space="0" w:color="auto"/>
              <w:bottom w:val="nil"/>
              <w:right w:val="single" w:sz="4" w:space="0" w:color="auto"/>
            </w:tcBorders>
          </w:tcPr>
          <w:p w14:paraId="0505DCB5" w14:textId="77777777" w:rsidR="00516AAE" w:rsidRPr="00EA2123" w:rsidRDefault="00516AAE" w:rsidP="00516AAE">
            <w:pPr>
              <w:jc w:val="center"/>
              <w:rPr>
                <w:rFonts w:ascii="Times New Roman" w:hAnsi="Times New Roman" w:cs="Times New Roman"/>
                <w:sz w:val="24"/>
                <w:szCs w:val="24"/>
                <w:lang w:val="en-US"/>
              </w:rPr>
            </w:pPr>
          </w:p>
        </w:tc>
        <w:tc>
          <w:tcPr>
            <w:tcW w:w="2353" w:type="dxa"/>
            <w:tcBorders>
              <w:left w:val="single" w:sz="4" w:space="0" w:color="auto"/>
            </w:tcBorders>
          </w:tcPr>
          <w:p w14:paraId="73DBE442" w14:textId="5B20666A"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422" w:type="dxa"/>
          </w:tcPr>
          <w:p w14:paraId="55D0A718" w14:textId="0A24AA64"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0.8941</w:t>
            </w:r>
          </w:p>
        </w:tc>
      </w:tr>
      <w:tr w:rsidR="00516AAE" w:rsidRPr="00EA2123" w14:paraId="340C2C1D" w14:textId="77777777" w:rsidTr="004B1B30">
        <w:trPr>
          <w:trHeight w:val="260"/>
        </w:trPr>
        <w:tc>
          <w:tcPr>
            <w:tcW w:w="2353" w:type="dxa"/>
          </w:tcPr>
          <w:p w14:paraId="7FA9804A" w14:textId="3F3FA63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1888" w:type="dxa"/>
            <w:tcBorders>
              <w:top w:val="nil"/>
              <w:bottom w:val="nil"/>
            </w:tcBorders>
          </w:tcPr>
          <w:p w14:paraId="4C8E78F7" w14:textId="167F66E9" w:rsidR="00516AAE" w:rsidRPr="00EA2123" w:rsidRDefault="00516AAE" w:rsidP="00516AAE">
            <w:pPr>
              <w:jc w:val="center"/>
              <w:rPr>
                <w:rFonts w:ascii="Times New Roman" w:hAnsi="Times New Roman" w:cs="Times New Roman"/>
                <w:sz w:val="24"/>
                <w:szCs w:val="24"/>
                <w:lang w:val="en-US"/>
              </w:rPr>
            </w:pPr>
          </w:p>
        </w:tc>
        <w:tc>
          <w:tcPr>
            <w:tcW w:w="2353" w:type="dxa"/>
          </w:tcPr>
          <w:p w14:paraId="24AB846E" w14:textId="4CF0CA5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2422" w:type="dxa"/>
          </w:tcPr>
          <w:p w14:paraId="63043904" w14:textId="1426E9CD"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0.3634</w:t>
            </w:r>
          </w:p>
        </w:tc>
      </w:tr>
      <w:tr w:rsidR="00516AAE" w:rsidRPr="00EA2123" w14:paraId="7BFE13A2" w14:textId="77777777" w:rsidTr="00516AAE">
        <w:tc>
          <w:tcPr>
            <w:tcW w:w="2353" w:type="dxa"/>
          </w:tcPr>
          <w:p w14:paraId="0B6248C0" w14:textId="1F3BE3E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1888" w:type="dxa"/>
            <w:tcBorders>
              <w:top w:val="nil"/>
              <w:bottom w:val="nil"/>
            </w:tcBorders>
          </w:tcPr>
          <w:p w14:paraId="36066DC3" w14:textId="309BA83A" w:rsidR="00516AAE" w:rsidRPr="00EA2123" w:rsidRDefault="004B1B30"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Is cause of</w:t>
            </w:r>
          </w:p>
        </w:tc>
        <w:tc>
          <w:tcPr>
            <w:tcW w:w="2353" w:type="dxa"/>
          </w:tcPr>
          <w:p w14:paraId="548DAAAA" w14:textId="10C3790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422" w:type="dxa"/>
          </w:tcPr>
          <w:p w14:paraId="59D92F72" w14:textId="092C350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0.5539</w:t>
            </w:r>
          </w:p>
        </w:tc>
      </w:tr>
      <w:tr w:rsidR="00516AAE" w:rsidRPr="00EA2123" w14:paraId="08F9A7B7" w14:textId="77777777" w:rsidTr="00516AAE">
        <w:tc>
          <w:tcPr>
            <w:tcW w:w="2353" w:type="dxa"/>
          </w:tcPr>
          <w:p w14:paraId="6C8C4E26" w14:textId="0B2BE7EF"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1888" w:type="dxa"/>
            <w:tcBorders>
              <w:top w:val="nil"/>
              <w:bottom w:val="nil"/>
            </w:tcBorders>
          </w:tcPr>
          <w:p w14:paraId="34E500C8"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5D9F09E1" w14:textId="2FADAD7A"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2422" w:type="dxa"/>
          </w:tcPr>
          <w:p w14:paraId="394AE32A" w14:textId="20A742A3"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0.1216</w:t>
            </w:r>
          </w:p>
        </w:tc>
      </w:tr>
      <w:tr w:rsidR="00516AAE" w:rsidRPr="00EA2123" w14:paraId="1D93658A" w14:textId="77777777" w:rsidTr="00516AAE">
        <w:tc>
          <w:tcPr>
            <w:tcW w:w="2353" w:type="dxa"/>
          </w:tcPr>
          <w:p w14:paraId="4CED344D" w14:textId="0FCFE023"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1888" w:type="dxa"/>
            <w:tcBorders>
              <w:top w:val="nil"/>
              <w:bottom w:val="nil"/>
            </w:tcBorders>
          </w:tcPr>
          <w:p w14:paraId="6A430ADD"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42FC56A6" w14:textId="505BBBDE"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422" w:type="dxa"/>
          </w:tcPr>
          <w:p w14:paraId="6594EEA0" w14:textId="309CE1AD"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0.7537</w:t>
            </w:r>
          </w:p>
        </w:tc>
      </w:tr>
      <w:tr w:rsidR="00516AAE" w:rsidRPr="00EA2123" w14:paraId="3AC6B843" w14:textId="77777777" w:rsidTr="00516AAE">
        <w:tc>
          <w:tcPr>
            <w:tcW w:w="2353" w:type="dxa"/>
          </w:tcPr>
          <w:p w14:paraId="0F2F7055" w14:textId="3D170EB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1888" w:type="dxa"/>
            <w:tcBorders>
              <w:top w:val="nil"/>
              <w:bottom w:val="single" w:sz="4" w:space="0" w:color="auto"/>
            </w:tcBorders>
          </w:tcPr>
          <w:p w14:paraId="3311F2D9"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29F52274" w14:textId="2904AA9C"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422" w:type="dxa"/>
          </w:tcPr>
          <w:p w14:paraId="3C37911C" w14:textId="363FEA4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0.8018</w:t>
            </w:r>
          </w:p>
        </w:tc>
      </w:tr>
    </w:tbl>
    <w:p w14:paraId="6DD325A5" w14:textId="77777777" w:rsidR="00DD7A89" w:rsidRPr="00EA2123" w:rsidRDefault="00DD7A89" w:rsidP="000859DC">
      <w:pPr>
        <w:rPr>
          <w:sz w:val="24"/>
          <w:szCs w:val="24"/>
          <w:lang w:val="en-US"/>
        </w:rPr>
      </w:pPr>
    </w:p>
    <w:p w14:paraId="4A4930A8" w14:textId="4754B3AE" w:rsidR="001C295D" w:rsidRPr="00EA2123" w:rsidRDefault="00516AAE" w:rsidP="000859DC">
      <w:pPr>
        <w:rPr>
          <w:rFonts w:ascii="Times New Roman" w:hAnsi="Times New Roman" w:cs="Times New Roman"/>
          <w:sz w:val="24"/>
          <w:szCs w:val="24"/>
          <w:lang w:val="en-US"/>
        </w:rPr>
      </w:pPr>
      <w:r w:rsidRPr="00EA2123">
        <w:rPr>
          <w:rFonts w:ascii="Times New Roman" w:hAnsi="Times New Roman" w:cs="Times New Roman"/>
          <w:sz w:val="24"/>
          <w:szCs w:val="24"/>
          <w:lang w:val="en-US"/>
        </w:rPr>
        <w:t>The tests suggest that the series have no</w:t>
      </w:r>
      <w:r w:rsidR="001C295D" w:rsidRPr="00EA2123">
        <w:rPr>
          <w:rFonts w:ascii="Times New Roman" w:hAnsi="Times New Roman" w:cs="Times New Roman"/>
          <w:sz w:val="24"/>
          <w:szCs w:val="24"/>
          <w:lang w:val="en-US"/>
        </w:rPr>
        <w:t xml:space="preserve"> Granger</w:t>
      </w:r>
      <w:r w:rsidRPr="00EA2123">
        <w:rPr>
          <w:rFonts w:ascii="Times New Roman" w:hAnsi="Times New Roman" w:cs="Times New Roman"/>
          <w:sz w:val="24"/>
          <w:szCs w:val="24"/>
          <w:lang w:val="en-US"/>
        </w:rPr>
        <w:t xml:space="preserve"> causality effect on each other, however, for forecasting purposes, a V</w:t>
      </w:r>
      <w:r w:rsidR="00FE0CB4" w:rsidRPr="00EA2123">
        <w:rPr>
          <w:rFonts w:ascii="Times New Roman" w:hAnsi="Times New Roman" w:cs="Times New Roman"/>
          <w:sz w:val="24"/>
          <w:szCs w:val="24"/>
          <w:lang w:val="en-US"/>
        </w:rPr>
        <w:t>AR</w:t>
      </w:r>
      <w:r w:rsidR="005C538F" w:rsidRPr="00EA2123">
        <w:rPr>
          <w:rFonts w:ascii="Times New Roman" w:hAnsi="Times New Roman" w:cs="Times New Roman"/>
          <w:sz w:val="24"/>
          <w:szCs w:val="24"/>
          <w:lang w:val="en-US"/>
        </w:rPr>
        <w:t>(1)</w:t>
      </w:r>
      <w:r w:rsidR="00FE0CB4" w:rsidRPr="00EA2123">
        <w:rPr>
          <w:rFonts w:ascii="Times New Roman" w:hAnsi="Times New Roman" w:cs="Times New Roman"/>
          <w:sz w:val="24"/>
          <w:szCs w:val="24"/>
          <w:lang w:val="en-US"/>
        </w:rPr>
        <w:t xml:space="preserve"> model can still be developed</w:t>
      </w:r>
      <w:r w:rsidR="001C295D" w:rsidRPr="00EA2123">
        <w:rPr>
          <w:rFonts w:ascii="Times New Roman" w:hAnsi="Times New Roman" w:cs="Times New Roman"/>
          <w:sz w:val="24"/>
          <w:szCs w:val="24"/>
          <w:lang w:val="en-US"/>
        </w:rPr>
        <w:t>:</w:t>
      </w:r>
    </w:p>
    <w:p w14:paraId="76E4E9F3" w14:textId="5F3A3E79" w:rsidR="00C63D10" w:rsidRPr="00EA2123" w:rsidRDefault="007A3E1E" w:rsidP="000859DC">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G.d</m:t>
              </m:r>
            </m:e>
            <m:sub>
              <m:r>
                <w:rPr>
                  <w:rFonts w:ascii="Cambria Math" w:hAnsi="Cambria Math" w:cs="Times New Roman"/>
                  <w:sz w:val="24"/>
                  <w:szCs w:val="24"/>
                  <w:lang w:val="en-US"/>
                </w:rPr>
                <m:t>t</m:t>
              </m:r>
            </m:sub>
          </m:sSub>
          <m:r>
            <w:rPr>
              <w:rFonts w:ascii="Cambria Math" w:hAnsi="Cambria Math" w:cs="Times New Roman"/>
              <w:sz w:val="24"/>
              <w:szCs w:val="24"/>
              <w:lang w:val="en-US"/>
            </w:rPr>
            <m:t>=-0.009245+ 0.049576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+ 0.068379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-0.054868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1t</m:t>
              </m:r>
            </m:sub>
          </m:sSub>
        </m:oMath>
      </m:oMathPara>
    </w:p>
    <w:p w14:paraId="7E147E6E" w14:textId="2DAE7C29" w:rsidR="002C06C3" w:rsidRPr="00EA2123" w:rsidRDefault="00000000" w:rsidP="00283C9B">
      <w:pPr>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HSG.d</m:t>
              </m:r>
            </m:e>
            <m:sub>
              <m:r>
                <w:rPr>
                  <w:rFonts w:ascii="Cambria Math" w:hAnsi="Cambria Math" w:cs="Times New Roman"/>
                  <w:sz w:val="24"/>
                  <w:szCs w:val="24"/>
                  <w:lang w:val="en-US"/>
                </w:rPr>
                <m:t>t</m:t>
              </m:r>
            </m:sub>
          </m:sSub>
          <m:r>
            <w:rPr>
              <w:rFonts w:ascii="Cambria Math" w:hAnsi="Cambria Math" w:cs="Times New Roman"/>
              <w:sz w:val="24"/>
              <w:szCs w:val="24"/>
              <w:lang w:val="en-US"/>
            </w:rPr>
            <m:t>=-0.018245-0.006957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+0.105173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-0.025657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2t</m:t>
              </m:r>
            </m:sub>
          </m:sSub>
        </m:oMath>
      </m:oMathPara>
    </w:p>
    <w:p w14:paraId="25BF390C" w14:textId="702B61F6" w:rsidR="008E120A" w:rsidRPr="00EA2123" w:rsidRDefault="00000000" w:rsidP="008E120A">
      <w:pPr>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NKG.d</m:t>
              </m:r>
            </m:e>
            <m:sub>
              <m:r>
                <w:rPr>
                  <w:rFonts w:ascii="Cambria Math" w:hAnsi="Cambria Math" w:cs="Times New Roman"/>
                  <w:sz w:val="24"/>
                  <w:szCs w:val="24"/>
                  <w:lang w:val="en-US"/>
                </w:rPr>
                <m:t>t</m:t>
              </m:r>
            </m:sub>
          </m:sSub>
          <m:r>
            <w:rPr>
              <w:rFonts w:ascii="Cambria Math" w:hAnsi="Cambria Math" w:cs="Times New Roman"/>
              <w:sz w:val="24"/>
              <w:szCs w:val="24"/>
              <w:lang w:val="en-US"/>
            </w:rPr>
            <m:t>= 0.002812+0.019175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+0.107953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-0.041052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3t</m:t>
              </m:r>
            </m:sub>
          </m:sSub>
        </m:oMath>
      </m:oMathPara>
    </w:p>
    <w:p w14:paraId="3632B724" w14:textId="75E59F76" w:rsidR="00084BB5" w:rsidRPr="00EA2123" w:rsidRDefault="00084BB5" w:rsidP="008E120A">
      <w:pPr>
        <w:jc w:val="cente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HPG.d</m:t>
        </m:r>
      </m:oMath>
      <w:r w:rsidRPr="00EA2123">
        <w:rPr>
          <w:rFonts w:ascii="Times New Roman" w:eastAsiaTheme="minorEastAsia" w:hAnsi="Times New Roman" w:cs="Times New Roman"/>
          <w:sz w:val="24"/>
          <w:szCs w:val="24"/>
          <w:lang w:val="en-US"/>
        </w:rPr>
        <w:t xml:space="preserve"> </w:t>
      </w:r>
      <w:r w:rsidR="005B740B" w:rsidRPr="00EA2123">
        <w:rPr>
          <w:rFonts w:ascii="Times New Roman" w:eastAsiaTheme="minorEastAsia" w:hAnsi="Times New Roman" w:cs="Times New Roman"/>
          <w:sz w:val="24"/>
          <w:szCs w:val="24"/>
          <w:lang w:val="en-US"/>
        </w:rPr>
        <w:t>is</w:t>
      </w:r>
      <w:r w:rsidRPr="00EA2123">
        <w:rPr>
          <w:rFonts w:ascii="Times New Roman" w:eastAsiaTheme="minorEastAsia" w:hAnsi="Times New Roman" w:cs="Times New Roman"/>
          <w:sz w:val="24"/>
          <w:szCs w:val="24"/>
          <w:lang w:val="en-US"/>
        </w:rPr>
        <w:t xml:space="preserve"> the</w:t>
      </w:r>
      <w:r w:rsidR="00C95006" w:rsidRPr="00EA2123">
        <w:rPr>
          <w:rFonts w:ascii="Times New Roman" w:eastAsiaTheme="minorEastAsia" w:hAnsi="Times New Roman" w:cs="Times New Roman"/>
          <w:sz w:val="24"/>
          <w:szCs w:val="24"/>
          <w:lang w:val="en-US"/>
        </w:rPr>
        <w:t xml:space="preserve"> lagged</w:t>
      </w:r>
      <w:r w:rsidR="001A56DC" w:rsidRPr="00EA2123">
        <w:rPr>
          <w:rFonts w:ascii="Times New Roman" w:eastAsiaTheme="minorEastAsia" w:hAnsi="Times New Roman" w:cs="Times New Roman"/>
          <w:sz w:val="24"/>
          <w:szCs w:val="24"/>
          <w:lang w:val="en-US"/>
        </w:rPr>
        <w:t xml:space="preserve"> difference of</w:t>
      </w:r>
      <w:r w:rsidRPr="00EA2123">
        <w:rPr>
          <w:rFonts w:ascii="Times New Roman" w:eastAsiaTheme="minorEastAsia" w:hAnsi="Times New Roman" w:cs="Times New Roman"/>
          <w:sz w:val="24"/>
          <w:szCs w:val="24"/>
          <w:lang w:val="en-US"/>
        </w:rPr>
        <w:t xml:space="preserve"> </w:t>
      </w:r>
      <w:r w:rsidR="001A56DC" w:rsidRPr="00EA2123">
        <w:rPr>
          <w:rFonts w:ascii="Times New Roman" w:eastAsiaTheme="minorEastAsia" w:hAnsi="Times New Roman" w:cs="Times New Roman"/>
          <w:sz w:val="24"/>
          <w:szCs w:val="24"/>
          <w:lang w:val="en-US"/>
        </w:rPr>
        <w:t>stock price of Hoa Phat Group</w:t>
      </w:r>
      <w:r w:rsidR="005B740B" w:rsidRPr="00EA2123">
        <w:rPr>
          <w:rFonts w:ascii="Times New Roman" w:eastAsiaTheme="minorEastAsia" w:hAnsi="Times New Roman" w:cs="Times New Roman"/>
          <w:sz w:val="24"/>
          <w:szCs w:val="24"/>
          <w:lang w:val="en-US"/>
        </w:rPr>
        <w:t>,</w:t>
      </w:r>
      <w:r w:rsidRPr="00EA2123">
        <w:rPr>
          <w:rFonts w:ascii="Times New Roman" w:eastAsiaTheme="minorEastAsia" w:hAnsi="Times New Roman" w:cs="Times New Roman"/>
          <w:sz w:val="24"/>
          <w:szCs w:val="24"/>
          <w:lang w:val="en-US"/>
        </w:rPr>
        <w:t xml:space="preserve"> </w:t>
      </w:r>
      <w:r w:rsidR="00264867" w:rsidRPr="00EA2123">
        <w:rPr>
          <w:rFonts w:ascii="Times New Roman" w:eastAsiaTheme="minorEastAsia" w:hAnsi="Times New Roman" w:cs="Times New Roman"/>
          <w:sz w:val="24"/>
          <w:szCs w:val="24"/>
          <w:lang w:val="en-US"/>
        </w:rPr>
        <w:t>similar denotation</w:t>
      </w:r>
      <w:r w:rsidR="00600829" w:rsidRPr="00EA2123">
        <w:rPr>
          <w:rFonts w:ascii="Times New Roman" w:eastAsiaTheme="minorEastAsia" w:hAnsi="Times New Roman" w:cs="Times New Roman"/>
          <w:sz w:val="24"/>
          <w:szCs w:val="24"/>
          <w:lang w:val="en-US"/>
        </w:rPr>
        <w:t>s</w:t>
      </w:r>
      <w:r w:rsidR="00264867" w:rsidRPr="00EA2123">
        <w:rPr>
          <w:rFonts w:ascii="Times New Roman" w:eastAsiaTheme="minorEastAsia" w:hAnsi="Times New Roman" w:cs="Times New Roman"/>
          <w:sz w:val="24"/>
          <w:szCs w:val="24"/>
          <w:lang w:val="en-US"/>
        </w:rPr>
        <w:t xml:space="preserve"> for Hoa Sen Group</w:t>
      </w:r>
      <w:r w:rsidR="00016B54" w:rsidRPr="00EA2123">
        <w:rPr>
          <w:rFonts w:ascii="Times New Roman" w:eastAsiaTheme="minorEastAsia" w:hAnsi="Times New Roman" w:cs="Times New Roman"/>
          <w:sz w:val="24"/>
          <w:szCs w:val="24"/>
          <w:lang w:val="en-US"/>
        </w:rPr>
        <w:t xml:space="preserve"> (HSG)</w:t>
      </w:r>
      <w:r w:rsidR="00264867" w:rsidRPr="00EA2123">
        <w:rPr>
          <w:rFonts w:ascii="Times New Roman" w:eastAsiaTheme="minorEastAsia" w:hAnsi="Times New Roman" w:cs="Times New Roman"/>
          <w:sz w:val="24"/>
          <w:szCs w:val="24"/>
          <w:lang w:val="en-US"/>
        </w:rPr>
        <w:t xml:space="preserve"> and Nam Kim Group</w:t>
      </w:r>
      <w:r w:rsidR="00016B54" w:rsidRPr="00EA2123">
        <w:rPr>
          <w:rFonts w:ascii="Times New Roman" w:eastAsiaTheme="minorEastAsia" w:hAnsi="Times New Roman" w:cs="Times New Roman"/>
          <w:sz w:val="24"/>
          <w:szCs w:val="24"/>
          <w:lang w:val="en-US"/>
        </w:rPr>
        <w:t xml:space="preserve"> (NKG)</w:t>
      </w:r>
      <w:r w:rsidR="00147649" w:rsidRPr="00EA2123">
        <w:rPr>
          <w:rFonts w:ascii="Times New Roman" w:eastAsiaTheme="minorEastAsia" w:hAnsi="Times New Roman" w:cs="Times New Roman"/>
          <w:sz w:val="24"/>
          <w:szCs w:val="24"/>
          <w:lang w:val="en-US"/>
        </w:rPr>
        <w:t>.</w:t>
      </w:r>
    </w:p>
    <w:p w14:paraId="5A7B59E1" w14:textId="08E483E1" w:rsidR="00EE2221" w:rsidRPr="00EA2123" w:rsidRDefault="000D79B6" w:rsidP="00EE2221">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From the VAR model, </w:t>
      </w:r>
      <w:r w:rsidR="00BF22FD" w:rsidRPr="00EA2123">
        <w:rPr>
          <w:rFonts w:ascii="Times New Roman" w:eastAsiaTheme="minorEastAsia" w:hAnsi="Times New Roman" w:cs="Times New Roman"/>
          <w:sz w:val="24"/>
          <w:szCs w:val="24"/>
          <w:lang w:val="en-US"/>
        </w:rPr>
        <w:t>the impulse response function</w:t>
      </w:r>
      <w:r w:rsidR="00156DF5">
        <w:rPr>
          <w:rFonts w:ascii="Times New Roman" w:eastAsiaTheme="minorEastAsia" w:hAnsi="Times New Roman" w:cs="Times New Roman"/>
          <w:sz w:val="24"/>
          <w:szCs w:val="24"/>
          <w:lang w:val="vi-VN"/>
        </w:rPr>
        <w:t xml:space="preserve"> </w:t>
      </w:r>
      <w:r w:rsidR="00942342" w:rsidRPr="00EA2123">
        <w:rPr>
          <w:rFonts w:ascii="Times New Roman" w:eastAsiaTheme="minorEastAsia" w:hAnsi="Times New Roman" w:cs="Times New Roman"/>
          <w:sz w:val="24"/>
          <w:szCs w:val="24"/>
          <w:lang w:val="en-US"/>
        </w:rPr>
        <w:t>is shown below</w:t>
      </w:r>
      <w:r w:rsidR="00927A8D" w:rsidRPr="00EA2123">
        <w:rPr>
          <w:rFonts w:ascii="Times New Roman" w:eastAsiaTheme="minorEastAsia" w:hAnsi="Times New Roman" w:cs="Times New Roman"/>
          <w:sz w:val="24"/>
          <w:szCs w:val="24"/>
          <w:lang w:val="en-US"/>
        </w:rPr>
        <w:t>:</w:t>
      </w:r>
    </w:p>
    <w:p w14:paraId="52581BBB" w14:textId="279A7FF2" w:rsidR="0053756B" w:rsidRPr="001954F0" w:rsidRDefault="0003715B" w:rsidP="005877CD">
      <w:pPr>
        <w:jc w:val="both"/>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drawing>
          <wp:anchor distT="0" distB="0" distL="114300" distR="114300" simplePos="0" relativeHeight="251658240" behindDoc="0" locked="0" layoutInCell="1" allowOverlap="1" wp14:anchorId="3EDDF559" wp14:editId="04477757">
            <wp:simplePos x="0" y="0"/>
            <wp:positionH relativeFrom="margin">
              <wp:posOffset>180975</wp:posOffset>
            </wp:positionH>
            <wp:positionV relativeFrom="paragraph">
              <wp:posOffset>10160</wp:posOffset>
            </wp:positionV>
            <wp:extent cx="3580130" cy="22098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2209800"/>
                    </a:xfrm>
                    <a:prstGeom prst="rect">
                      <a:avLst/>
                    </a:prstGeom>
                    <a:noFill/>
                  </pic:spPr>
                </pic:pic>
              </a:graphicData>
            </a:graphic>
            <wp14:sizeRelH relativeFrom="margin">
              <wp14:pctWidth>0</wp14:pctWidth>
            </wp14:sizeRelH>
            <wp14:sizeRelV relativeFrom="margin">
              <wp14:pctHeight>0</wp14:pctHeight>
            </wp14:sizeRelV>
          </wp:anchor>
        </w:drawing>
      </w:r>
      <w:r w:rsidR="001B7BF2" w:rsidRPr="001B7BF2">
        <w:rPr>
          <w:rFonts w:ascii="Times New Roman" w:eastAsiaTheme="minorEastAsia" w:hAnsi="Times New Roman" w:cs="Times New Roman"/>
          <w:sz w:val="24"/>
          <w:szCs w:val="24"/>
          <w:lang w:val="en-US"/>
        </w:rPr>
        <w:t>When there is a shock in the price movement of HPG in the past, HPG, HSG, and NKG all have a strong impact right away, followed by a strong downward trend after one period. that, after two periods, gradually stabilized</w:t>
      </w:r>
    </w:p>
    <w:p w14:paraId="620EA220" w14:textId="77777777" w:rsidR="00570973" w:rsidRPr="00EA2123" w:rsidRDefault="00570973" w:rsidP="00082058">
      <w:pPr>
        <w:rPr>
          <w:rFonts w:ascii="Times New Roman" w:eastAsiaTheme="minorEastAsia" w:hAnsi="Times New Roman" w:cs="Times New Roman"/>
          <w:sz w:val="24"/>
          <w:szCs w:val="24"/>
          <w:lang w:val="en-US"/>
        </w:rPr>
      </w:pPr>
    </w:p>
    <w:p w14:paraId="2B986B4C" w14:textId="2E6329ED" w:rsidR="0053756B" w:rsidRPr="0053756B" w:rsidRDefault="002C4210" w:rsidP="0053756B">
      <w:pPr>
        <w:jc w:val="both"/>
        <w:rPr>
          <w:rFonts w:ascii="Times New Roman" w:eastAsiaTheme="minorEastAsia" w:hAnsi="Times New Roman" w:cs="Times New Roman"/>
          <w:sz w:val="24"/>
          <w:szCs w:val="24"/>
          <w:lang w:val="vi-VN"/>
        </w:rPr>
      </w:pPr>
      <w:r w:rsidRPr="00EA2123">
        <w:rPr>
          <w:rFonts w:ascii="Times New Roman" w:eastAsiaTheme="minorEastAsia" w:hAnsi="Times New Roman" w:cs="Times New Roman"/>
          <w:noProof/>
          <w:sz w:val="24"/>
          <w:szCs w:val="24"/>
          <w:lang w:val="en-US"/>
        </w:rPr>
        <w:drawing>
          <wp:anchor distT="0" distB="0" distL="114300" distR="114300" simplePos="0" relativeHeight="251659264" behindDoc="0" locked="0" layoutInCell="1" allowOverlap="1" wp14:anchorId="0DB8C4A8" wp14:editId="590E228E">
            <wp:simplePos x="0" y="0"/>
            <wp:positionH relativeFrom="margin">
              <wp:align>right</wp:align>
            </wp:positionH>
            <wp:positionV relativeFrom="paragraph">
              <wp:posOffset>147955</wp:posOffset>
            </wp:positionV>
            <wp:extent cx="3535680" cy="2034540"/>
            <wp:effectExtent l="0" t="0" r="7620" b="381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2034540"/>
                    </a:xfrm>
                    <a:prstGeom prst="rect">
                      <a:avLst/>
                    </a:prstGeom>
                    <a:noFill/>
                  </pic:spPr>
                </pic:pic>
              </a:graphicData>
            </a:graphic>
            <wp14:sizeRelH relativeFrom="margin">
              <wp14:pctWidth>0</wp14:pctWidth>
            </wp14:sizeRelH>
            <wp14:sizeRelV relativeFrom="margin">
              <wp14:pctHeight>0</wp14:pctHeight>
            </wp14:sizeRelV>
          </wp:anchor>
        </w:drawing>
      </w:r>
      <w:r w:rsidR="0053756B" w:rsidRPr="0053756B">
        <w:rPr>
          <w:rFonts w:ascii="Times New Roman" w:eastAsiaTheme="minorEastAsia" w:hAnsi="Times New Roman" w:cs="Times New Roman"/>
          <w:sz w:val="24"/>
          <w:szCs w:val="24"/>
          <w:lang w:val="vi-VN"/>
        </w:rPr>
        <w:t xml:space="preserve"> </w:t>
      </w:r>
      <w:r w:rsidR="001B7BF2" w:rsidRPr="001B7BF2">
        <w:rPr>
          <w:rFonts w:ascii="Times New Roman" w:eastAsiaTheme="minorEastAsia" w:hAnsi="Times New Roman" w:cs="Times New Roman"/>
          <w:sz w:val="24"/>
          <w:szCs w:val="24"/>
          <w:lang w:val="vi-VN"/>
        </w:rPr>
        <w:t>When the price movement of HSG is past-shocked, HSG and NKG's price movements are strongly</w:t>
      </w:r>
      <w:r w:rsidR="001B7BF2">
        <w:rPr>
          <w:rFonts w:ascii="Times New Roman" w:eastAsiaTheme="minorEastAsia" w:hAnsi="Times New Roman" w:cs="Times New Roman"/>
          <w:sz w:val="24"/>
          <w:szCs w:val="24"/>
          <w:lang w:val="vi-VN"/>
        </w:rPr>
        <w:t xml:space="preserve"> </w:t>
      </w:r>
      <w:r w:rsidR="001B7BF2" w:rsidRPr="001B7BF2">
        <w:rPr>
          <w:rFonts w:ascii="Times New Roman" w:eastAsiaTheme="minorEastAsia" w:hAnsi="Times New Roman" w:cs="Times New Roman"/>
          <w:sz w:val="24"/>
          <w:szCs w:val="24"/>
          <w:lang w:val="vi-VN"/>
        </w:rPr>
        <w:t>impacted right away, followed by a strong downward trend after one period, and then gradually. stayed steady after two periods. Even though this shock had no immediate impact on HPG's price movement after one period, there was only a slight upward correction.</w:t>
      </w:r>
    </w:p>
    <w:p w14:paraId="4889EA94" w14:textId="3C99193F" w:rsidR="006E571D" w:rsidRPr="00EA2123" w:rsidRDefault="002C4210" w:rsidP="002C0F66">
      <w:pPr>
        <w:jc w:val="both"/>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lastRenderedPageBreak/>
        <w:t>.</w:t>
      </w:r>
    </w:p>
    <w:p w14:paraId="5927A28F" w14:textId="614F0741" w:rsidR="002C0F66" w:rsidRDefault="008C5DAE" w:rsidP="002C0F66">
      <w:pPr>
        <w:jc w:val="both"/>
        <w:rPr>
          <w:rFonts w:ascii="Times New Roman" w:eastAsiaTheme="minorEastAsia" w:hAnsi="Times New Roman" w:cs="Times New Roman"/>
          <w:sz w:val="24"/>
          <w:szCs w:val="24"/>
          <w:lang w:val="vi-VN"/>
        </w:rPr>
      </w:pPr>
      <w:r w:rsidRPr="00EA2123">
        <w:rPr>
          <w:rFonts w:ascii="Times New Roman" w:eastAsiaTheme="minorEastAsia" w:hAnsi="Times New Roman" w:cs="Times New Roman"/>
          <w:noProof/>
          <w:sz w:val="24"/>
          <w:szCs w:val="24"/>
          <w:lang w:val="en-US"/>
        </w:rPr>
        <w:drawing>
          <wp:anchor distT="0" distB="0" distL="114300" distR="114300" simplePos="0" relativeHeight="251660288" behindDoc="1" locked="0" layoutInCell="1" allowOverlap="1" wp14:anchorId="085F792D" wp14:editId="1CF6E2BA">
            <wp:simplePos x="0" y="0"/>
            <wp:positionH relativeFrom="margin">
              <wp:posOffset>123190</wp:posOffset>
            </wp:positionH>
            <wp:positionV relativeFrom="paragraph">
              <wp:posOffset>0</wp:posOffset>
            </wp:positionV>
            <wp:extent cx="3044825" cy="1782445"/>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825" cy="1782445"/>
                    </a:xfrm>
                    <a:prstGeom prst="rect">
                      <a:avLst/>
                    </a:prstGeom>
                    <a:noFill/>
                  </pic:spPr>
                </pic:pic>
              </a:graphicData>
            </a:graphic>
            <wp14:sizeRelH relativeFrom="margin">
              <wp14:pctWidth>0</wp14:pctWidth>
            </wp14:sizeRelH>
            <wp14:sizeRelV relativeFrom="margin">
              <wp14:pctHeight>0</wp14:pctHeight>
            </wp14:sizeRelV>
          </wp:anchor>
        </w:drawing>
      </w:r>
      <w:r w:rsidR="002C0F66" w:rsidRPr="002C0F66">
        <w:rPr>
          <w:rFonts w:ascii="Times New Roman" w:eastAsiaTheme="minorEastAsia" w:hAnsi="Times New Roman" w:cs="Times New Roman"/>
          <w:sz w:val="24"/>
          <w:szCs w:val="24"/>
          <w:lang w:val="vi-VN"/>
        </w:rPr>
        <w:t xml:space="preserve"> </w:t>
      </w:r>
      <w:r w:rsidR="001B7BF2" w:rsidRPr="001B7BF2">
        <w:rPr>
          <w:rFonts w:ascii="Times New Roman" w:eastAsiaTheme="minorEastAsia" w:hAnsi="Times New Roman" w:cs="Times New Roman"/>
          <w:sz w:val="24"/>
          <w:szCs w:val="24"/>
          <w:lang w:val="vi-VN"/>
        </w:rPr>
        <w:t>The price movement of HPG and HSG was almost nonexistent when there was a shock to NKG's price movement in the past; this effect was only slightly reduced after</w:t>
      </w:r>
      <w:r w:rsidR="001B7BF2">
        <w:rPr>
          <w:rFonts w:ascii="Times New Roman" w:eastAsiaTheme="minorEastAsia" w:hAnsi="Times New Roman" w:cs="Times New Roman"/>
          <w:sz w:val="24"/>
          <w:szCs w:val="24"/>
          <w:lang w:val="vi-VN"/>
        </w:rPr>
        <w:t xml:space="preserve"> </w:t>
      </w:r>
      <w:r w:rsidR="001B7BF2" w:rsidRPr="001B7BF2">
        <w:rPr>
          <w:rFonts w:ascii="Times New Roman" w:eastAsiaTheme="minorEastAsia" w:hAnsi="Times New Roman" w:cs="Times New Roman"/>
          <w:sz w:val="24"/>
          <w:szCs w:val="24"/>
          <w:lang w:val="vi-VN"/>
        </w:rPr>
        <w:t>1 period and then gradually decreased. stayed steady after two periods. However, this shock directly affects the movement of NKG's price, with the impact sharply decreasing after one period and stabilizing after two.</w:t>
      </w:r>
    </w:p>
    <w:p w14:paraId="27CD45E6" w14:textId="2E103972" w:rsidR="002C0F66" w:rsidRPr="0053756B" w:rsidRDefault="002C0F66" w:rsidP="002C0F66">
      <w:pPr>
        <w:jc w:val="both"/>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ab/>
      </w:r>
      <w:r w:rsidR="001B7BF2">
        <w:rPr>
          <w:rFonts w:ascii="Times New Roman" w:eastAsiaTheme="minorEastAsia" w:hAnsi="Times New Roman" w:cs="Times New Roman"/>
          <w:sz w:val="24"/>
          <w:szCs w:val="24"/>
          <w:lang w:val="vi-VN"/>
        </w:rPr>
        <w:t>Overall</w:t>
      </w:r>
      <w:r w:rsidR="001B7BF2" w:rsidRPr="001B7BF2">
        <w:rPr>
          <w:rFonts w:ascii="Times New Roman" w:eastAsiaTheme="minorEastAsia" w:hAnsi="Times New Roman" w:cs="Times New Roman"/>
          <w:sz w:val="24"/>
          <w:szCs w:val="24"/>
          <w:lang w:val="vi-VN"/>
        </w:rPr>
        <w:t>, it can be seen that the price movement of the HPG stock directly and significantly affects the price movement of the other two stocks. The price movement of NKG shares, in contrast, largely has no impact on the price movement of the other two stocks and only has an internal impact. On the other hand, while HSG's price movement affects NKG's intrinsic value and price movement, HPG's price movement is unaffected by HSG's price movement. We can infer from this that the price movement of HPG has a significant impact on the price movements of the other stocks. The price movement of NKG, in contrast, largely has no impact on the price movement of the remaining stocks and only influences it internally.</w:t>
      </w:r>
    </w:p>
    <w:p w14:paraId="2071A4BE" w14:textId="42B0C611" w:rsidR="001341B3" w:rsidRPr="00EA2123" w:rsidRDefault="001341B3" w:rsidP="00082058">
      <w:pPr>
        <w:rPr>
          <w:rFonts w:ascii="Times New Roman" w:eastAsiaTheme="minorEastAsia" w:hAnsi="Times New Roman" w:cs="Times New Roman"/>
          <w:sz w:val="24"/>
          <w:szCs w:val="24"/>
          <w:lang w:val="en-US"/>
        </w:rPr>
      </w:pPr>
    </w:p>
    <w:p w14:paraId="2620DAD9" w14:textId="2C8EC171" w:rsidR="00434DA4" w:rsidRPr="00EA2123" w:rsidRDefault="00434DA4" w:rsidP="00434DA4">
      <w:pPr>
        <w:jc w:val="cente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drawing>
          <wp:inline distT="0" distB="0" distL="0" distR="0" wp14:anchorId="07AD0936" wp14:editId="7149B9E0">
            <wp:extent cx="405812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922" cy="2514192"/>
                    </a:xfrm>
                    <a:prstGeom prst="rect">
                      <a:avLst/>
                    </a:prstGeom>
                    <a:noFill/>
                  </pic:spPr>
                </pic:pic>
              </a:graphicData>
            </a:graphic>
          </wp:inline>
        </w:drawing>
      </w:r>
    </w:p>
    <w:p w14:paraId="47FF4B4D" w14:textId="1DED7F8A" w:rsidR="00434DA4" w:rsidRPr="00EA2123" w:rsidRDefault="005D5E1A" w:rsidP="00434DA4">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The forecast error variance decomposition </w:t>
      </w:r>
      <w:r w:rsidR="00EC5A21" w:rsidRPr="00EA2123">
        <w:rPr>
          <w:rFonts w:ascii="Times New Roman" w:eastAsiaTheme="minorEastAsia" w:hAnsi="Times New Roman" w:cs="Times New Roman"/>
          <w:sz w:val="24"/>
          <w:szCs w:val="24"/>
          <w:lang w:val="en-US"/>
        </w:rPr>
        <w:t xml:space="preserve">shows </w:t>
      </w:r>
      <w:r w:rsidR="00FE6147" w:rsidRPr="00EA2123">
        <w:rPr>
          <w:rFonts w:ascii="Times New Roman" w:eastAsiaTheme="minorEastAsia" w:hAnsi="Times New Roman" w:cs="Times New Roman"/>
          <w:sz w:val="24"/>
          <w:szCs w:val="24"/>
          <w:lang w:val="en-US"/>
        </w:rPr>
        <w:t xml:space="preserve">how much a shock to one variable impacts the </w:t>
      </w:r>
      <w:r w:rsidR="00384669" w:rsidRPr="00EA2123">
        <w:rPr>
          <w:rFonts w:ascii="Times New Roman" w:eastAsiaTheme="minorEastAsia" w:hAnsi="Times New Roman" w:cs="Times New Roman"/>
          <w:sz w:val="24"/>
          <w:szCs w:val="24"/>
          <w:lang w:val="en-US"/>
        </w:rPr>
        <w:t>forecast error of a different one</w:t>
      </w:r>
      <w:r w:rsidR="00791E76" w:rsidRPr="00EA2123">
        <w:rPr>
          <w:rFonts w:ascii="Times New Roman" w:eastAsiaTheme="minorEastAsia" w:hAnsi="Times New Roman" w:cs="Times New Roman"/>
          <w:sz w:val="24"/>
          <w:szCs w:val="24"/>
          <w:lang w:val="en-US"/>
        </w:rPr>
        <w:t>. In this case</w:t>
      </w:r>
      <w:r w:rsidR="00485C8E" w:rsidRPr="00EA2123">
        <w:rPr>
          <w:rFonts w:ascii="Times New Roman" w:eastAsiaTheme="minorEastAsia" w:hAnsi="Times New Roman" w:cs="Times New Roman"/>
          <w:sz w:val="24"/>
          <w:szCs w:val="24"/>
          <w:lang w:val="en-US"/>
        </w:rPr>
        <w:t xml:space="preserve">, a shock to </w:t>
      </w:r>
      <w:r w:rsidR="006F69AA" w:rsidRPr="00EA2123">
        <w:rPr>
          <w:rFonts w:ascii="Times New Roman" w:eastAsiaTheme="minorEastAsia" w:hAnsi="Times New Roman" w:cs="Times New Roman"/>
          <w:sz w:val="24"/>
          <w:szCs w:val="24"/>
          <w:lang w:val="en-US"/>
        </w:rPr>
        <w:t>HPG</w:t>
      </w:r>
      <w:r w:rsidR="009A1C92" w:rsidRPr="00EA2123">
        <w:rPr>
          <w:rFonts w:ascii="Times New Roman" w:eastAsiaTheme="minorEastAsia" w:hAnsi="Times New Roman" w:cs="Times New Roman"/>
          <w:sz w:val="24"/>
          <w:szCs w:val="24"/>
          <w:lang w:val="en-US"/>
        </w:rPr>
        <w:t xml:space="preserve"> stock price affects</w:t>
      </w:r>
      <w:r w:rsidR="00CD27F0" w:rsidRPr="00EA2123">
        <w:rPr>
          <w:rFonts w:ascii="Times New Roman" w:eastAsiaTheme="minorEastAsia" w:hAnsi="Times New Roman" w:cs="Times New Roman"/>
          <w:sz w:val="24"/>
          <w:szCs w:val="24"/>
          <w:lang w:val="en-US"/>
        </w:rPr>
        <w:t xml:space="preserve"> around</w:t>
      </w:r>
      <w:r w:rsidR="00E03F98" w:rsidRPr="00EA2123">
        <w:rPr>
          <w:rFonts w:ascii="Times New Roman" w:eastAsiaTheme="minorEastAsia" w:hAnsi="Times New Roman" w:cs="Times New Roman"/>
          <w:sz w:val="24"/>
          <w:szCs w:val="24"/>
          <w:lang w:val="en-US"/>
        </w:rPr>
        <w:t xml:space="preserve"> </w:t>
      </w:r>
      <w:r w:rsidR="00296571" w:rsidRPr="00EA2123">
        <w:rPr>
          <w:rFonts w:ascii="Times New Roman" w:eastAsiaTheme="minorEastAsia" w:hAnsi="Times New Roman" w:cs="Times New Roman"/>
          <w:sz w:val="24"/>
          <w:szCs w:val="24"/>
          <w:lang w:val="en-US"/>
        </w:rPr>
        <w:t>60% of the forecast error of HSG and 50% of NKG</w:t>
      </w:r>
      <w:r w:rsidR="005C31F7" w:rsidRPr="00EA2123">
        <w:rPr>
          <w:rFonts w:ascii="Times New Roman" w:eastAsiaTheme="minorEastAsia" w:hAnsi="Times New Roman" w:cs="Times New Roman"/>
          <w:sz w:val="24"/>
          <w:szCs w:val="24"/>
          <w:lang w:val="en-US"/>
        </w:rPr>
        <w:t>.</w:t>
      </w:r>
      <w:r w:rsidR="00511B34" w:rsidRPr="00EA2123">
        <w:rPr>
          <w:rFonts w:ascii="Times New Roman" w:eastAsiaTheme="minorEastAsia" w:hAnsi="Times New Roman" w:cs="Times New Roman"/>
          <w:sz w:val="24"/>
          <w:szCs w:val="24"/>
          <w:lang w:val="en-US"/>
        </w:rPr>
        <w:t xml:space="preserve"> 20% of</w:t>
      </w:r>
      <w:r w:rsidR="005C31F7" w:rsidRPr="00EA2123">
        <w:rPr>
          <w:rFonts w:ascii="Times New Roman" w:eastAsiaTheme="minorEastAsia" w:hAnsi="Times New Roman" w:cs="Times New Roman"/>
          <w:sz w:val="24"/>
          <w:szCs w:val="24"/>
          <w:lang w:val="en-US"/>
        </w:rPr>
        <w:t xml:space="preserve"> </w:t>
      </w:r>
      <w:r w:rsidR="00511B34" w:rsidRPr="00EA2123">
        <w:rPr>
          <w:rFonts w:ascii="Times New Roman" w:eastAsiaTheme="minorEastAsia" w:hAnsi="Times New Roman" w:cs="Times New Roman"/>
          <w:sz w:val="24"/>
          <w:szCs w:val="24"/>
          <w:lang w:val="en-US"/>
        </w:rPr>
        <w:t>t</w:t>
      </w:r>
      <w:r w:rsidR="005C31F7" w:rsidRPr="00EA2123">
        <w:rPr>
          <w:rFonts w:ascii="Times New Roman" w:eastAsiaTheme="minorEastAsia" w:hAnsi="Times New Roman" w:cs="Times New Roman"/>
          <w:sz w:val="24"/>
          <w:szCs w:val="24"/>
          <w:lang w:val="en-US"/>
        </w:rPr>
        <w:t>he forecast error variance of NKG is also</w:t>
      </w:r>
      <w:r w:rsidR="00511B34" w:rsidRPr="00EA2123">
        <w:rPr>
          <w:rFonts w:ascii="Times New Roman" w:eastAsiaTheme="minorEastAsia" w:hAnsi="Times New Roman" w:cs="Times New Roman"/>
          <w:sz w:val="24"/>
          <w:szCs w:val="24"/>
          <w:lang w:val="en-US"/>
        </w:rPr>
        <w:t xml:space="preserve"> explained by a shock to HSG’s stock price.</w:t>
      </w:r>
      <w:r w:rsidR="00A545A3" w:rsidRPr="00EA2123">
        <w:rPr>
          <w:rFonts w:ascii="Times New Roman" w:eastAsiaTheme="minorEastAsia" w:hAnsi="Times New Roman" w:cs="Times New Roman"/>
          <w:sz w:val="24"/>
          <w:szCs w:val="24"/>
          <w:lang w:val="en-US"/>
        </w:rPr>
        <w:t xml:space="preserve"> On the other hand</w:t>
      </w:r>
      <w:r w:rsidR="001616CF" w:rsidRPr="00EA2123">
        <w:rPr>
          <w:rFonts w:ascii="Times New Roman" w:eastAsiaTheme="minorEastAsia" w:hAnsi="Times New Roman" w:cs="Times New Roman"/>
          <w:sz w:val="24"/>
          <w:szCs w:val="24"/>
          <w:lang w:val="en-US"/>
        </w:rPr>
        <w:t xml:space="preserve">, </w:t>
      </w:r>
      <w:r w:rsidR="00095566" w:rsidRPr="00EA2123">
        <w:rPr>
          <w:rFonts w:ascii="Times New Roman" w:eastAsiaTheme="minorEastAsia" w:hAnsi="Times New Roman" w:cs="Times New Roman"/>
          <w:sz w:val="24"/>
          <w:szCs w:val="24"/>
          <w:lang w:val="en-US"/>
        </w:rPr>
        <w:t>forecast error variance of HPG</w:t>
      </w:r>
      <w:r w:rsidR="006646F0" w:rsidRPr="00EA2123">
        <w:rPr>
          <w:rFonts w:ascii="Times New Roman" w:eastAsiaTheme="minorEastAsia" w:hAnsi="Times New Roman" w:cs="Times New Roman"/>
          <w:sz w:val="24"/>
          <w:szCs w:val="24"/>
          <w:lang w:val="en-US"/>
        </w:rPr>
        <w:t xml:space="preserve"> is not explained by the shock </w:t>
      </w:r>
      <w:r w:rsidR="004D3E15" w:rsidRPr="00EA2123">
        <w:rPr>
          <w:rFonts w:ascii="Times New Roman" w:eastAsiaTheme="minorEastAsia" w:hAnsi="Times New Roman" w:cs="Times New Roman"/>
          <w:sz w:val="24"/>
          <w:szCs w:val="24"/>
          <w:lang w:val="en-US"/>
        </w:rPr>
        <w:t>o</w:t>
      </w:r>
      <w:r w:rsidR="006646F0" w:rsidRPr="00EA2123">
        <w:rPr>
          <w:rFonts w:ascii="Times New Roman" w:eastAsiaTheme="minorEastAsia" w:hAnsi="Times New Roman" w:cs="Times New Roman"/>
          <w:sz w:val="24"/>
          <w:szCs w:val="24"/>
          <w:lang w:val="en-US"/>
        </w:rPr>
        <w:t xml:space="preserve">n </w:t>
      </w:r>
      <w:r w:rsidR="008E4EAB" w:rsidRPr="00EA2123">
        <w:rPr>
          <w:rFonts w:ascii="Times New Roman" w:eastAsiaTheme="minorEastAsia" w:hAnsi="Times New Roman" w:cs="Times New Roman"/>
          <w:sz w:val="24"/>
          <w:szCs w:val="24"/>
          <w:lang w:val="en-US"/>
        </w:rPr>
        <w:t>the other two stock price</w:t>
      </w:r>
      <w:r w:rsidR="004D3E15" w:rsidRPr="00EA2123">
        <w:rPr>
          <w:rFonts w:ascii="Times New Roman" w:eastAsiaTheme="minorEastAsia" w:hAnsi="Times New Roman" w:cs="Times New Roman"/>
          <w:sz w:val="24"/>
          <w:szCs w:val="24"/>
          <w:lang w:val="en-US"/>
        </w:rPr>
        <w:t>s</w:t>
      </w:r>
      <w:r w:rsidR="008E4EAB" w:rsidRPr="00EA2123">
        <w:rPr>
          <w:rFonts w:ascii="Times New Roman" w:eastAsiaTheme="minorEastAsia" w:hAnsi="Times New Roman" w:cs="Times New Roman"/>
          <w:sz w:val="24"/>
          <w:szCs w:val="24"/>
          <w:lang w:val="en-US"/>
        </w:rPr>
        <w:t>.</w:t>
      </w:r>
      <w:r w:rsidR="0071079A" w:rsidRPr="00EA2123">
        <w:rPr>
          <w:rFonts w:ascii="Times New Roman" w:eastAsiaTheme="minorEastAsia" w:hAnsi="Times New Roman" w:cs="Times New Roman"/>
          <w:sz w:val="24"/>
          <w:szCs w:val="24"/>
          <w:lang w:val="en-US"/>
        </w:rPr>
        <w:t xml:space="preserve"> </w:t>
      </w:r>
    </w:p>
    <w:p w14:paraId="763E1C25" w14:textId="35FB7C99" w:rsidR="00820D23" w:rsidRPr="00EA2123" w:rsidRDefault="00AE3D60" w:rsidP="00434DA4">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lastRenderedPageBreak/>
        <w:drawing>
          <wp:inline distT="0" distB="0" distL="0" distR="0" wp14:anchorId="0BE7C94F" wp14:editId="3F5588DE">
            <wp:extent cx="5218980" cy="3222697"/>
            <wp:effectExtent l="0" t="0" r="127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673" cy="3246590"/>
                    </a:xfrm>
                    <a:prstGeom prst="rect">
                      <a:avLst/>
                    </a:prstGeom>
                    <a:noFill/>
                  </pic:spPr>
                </pic:pic>
              </a:graphicData>
            </a:graphic>
          </wp:inline>
        </w:drawing>
      </w:r>
    </w:p>
    <w:p w14:paraId="2F26B456" w14:textId="2B50E1F4" w:rsidR="00082058" w:rsidRPr="00EA2123" w:rsidRDefault="00082058" w:rsidP="00082058">
      <w:pPr>
        <w:rPr>
          <w:rFonts w:ascii="Times New Roman" w:eastAsiaTheme="minorEastAsia" w:hAnsi="Times New Roman" w:cs="Times New Roman"/>
          <w:sz w:val="24"/>
          <w:szCs w:val="24"/>
          <w:lang w:val="en-US"/>
        </w:rPr>
      </w:pPr>
    </w:p>
    <w:p w14:paraId="1921294C" w14:textId="586FA8D1" w:rsidR="00600829" w:rsidRPr="00EA2123" w:rsidRDefault="0011461A" w:rsidP="00600829">
      <w:pPr>
        <w:rPr>
          <w:rFonts w:ascii="Times New Roman" w:eastAsiaTheme="minorEastAsia" w:hAnsi="Times New Roman" w:cs="Times New Roman"/>
          <w:sz w:val="24"/>
          <w:szCs w:val="24"/>
          <w:lang w:val="en-US"/>
        </w:rPr>
      </w:pPr>
      <w:r w:rsidRPr="00EA2123">
        <w:rPr>
          <w:noProof/>
          <w:sz w:val="24"/>
          <w:szCs w:val="24"/>
        </w:rPr>
        <w:drawing>
          <wp:inline distT="0" distB="0" distL="0" distR="0" wp14:anchorId="1A2A1B75" wp14:editId="334139AD">
            <wp:extent cx="5598160" cy="2394693"/>
            <wp:effectExtent l="0" t="0" r="254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3763" cy="2401367"/>
                    </a:xfrm>
                    <a:prstGeom prst="rect">
                      <a:avLst/>
                    </a:prstGeom>
                    <a:noFill/>
                    <a:ln>
                      <a:noFill/>
                    </a:ln>
                  </pic:spPr>
                </pic:pic>
              </a:graphicData>
            </a:graphic>
          </wp:inline>
        </w:drawing>
      </w:r>
    </w:p>
    <w:p w14:paraId="41615FD2" w14:textId="6912408A" w:rsidR="00F96CF1" w:rsidRPr="00EA2123" w:rsidRDefault="00F96CF1" w:rsidP="00600829">
      <w:pPr>
        <w:rPr>
          <w:rFonts w:ascii="Times New Roman" w:eastAsiaTheme="minorEastAsia" w:hAnsi="Times New Roman" w:cs="Times New Roman"/>
          <w:sz w:val="24"/>
          <w:szCs w:val="24"/>
          <w:lang w:val="en-US"/>
        </w:rPr>
      </w:pPr>
      <w:r w:rsidRPr="00EA2123">
        <w:rPr>
          <w:noProof/>
          <w:sz w:val="24"/>
          <w:szCs w:val="24"/>
        </w:rPr>
        <w:drawing>
          <wp:inline distT="0" distB="0" distL="0" distR="0" wp14:anchorId="150E8BCF" wp14:editId="2C526CFD">
            <wp:extent cx="5705475" cy="244059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1096" cy="2443002"/>
                    </a:xfrm>
                    <a:prstGeom prst="rect">
                      <a:avLst/>
                    </a:prstGeom>
                    <a:noFill/>
                    <a:ln>
                      <a:noFill/>
                    </a:ln>
                  </pic:spPr>
                </pic:pic>
              </a:graphicData>
            </a:graphic>
          </wp:inline>
        </w:drawing>
      </w:r>
    </w:p>
    <w:p w14:paraId="103D9664" w14:textId="65BC2B82" w:rsidR="008E120A" w:rsidRPr="00EA2123" w:rsidRDefault="00BF51A2" w:rsidP="008E120A">
      <w:pPr>
        <w:rPr>
          <w:rFonts w:ascii="Times New Roman" w:eastAsiaTheme="minorEastAsia" w:hAnsi="Times New Roman" w:cs="Times New Roman"/>
          <w:sz w:val="24"/>
          <w:szCs w:val="24"/>
          <w:lang w:val="en-US"/>
        </w:rPr>
      </w:pPr>
      <w:r w:rsidRPr="00EA2123">
        <w:rPr>
          <w:noProof/>
          <w:sz w:val="24"/>
          <w:szCs w:val="24"/>
        </w:rPr>
        <w:lastRenderedPageBreak/>
        <w:drawing>
          <wp:inline distT="0" distB="0" distL="0" distR="0" wp14:anchorId="54B06E70" wp14:editId="5260FC80">
            <wp:extent cx="5731510" cy="2451735"/>
            <wp:effectExtent l="0" t="0" r="2540" b="5715"/>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p w14:paraId="5F5880B9" w14:textId="77777777" w:rsidR="00FB608D" w:rsidRPr="00EA2123" w:rsidRDefault="00FB608D" w:rsidP="00283C9B">
      <w:pPr>
        <w:jc w:val="center"/>
        <w:rPr>
          <w:rFonts w:ascii="Times New Roman" w:eastAsiaTheme="minorEastAsia" w:hAnsi="Times New Roman" w:cs="Times New Roman"/>
          <w:sz w:val="24"/>
          <w:szCs w:val="24"/>
          <w:lang w:val="en-US"/>
        </w:rPr>
      </w:pPr>
    </w:p>
    <w:tbl>
      <w:tblPr>
        <w:tblStyle w:val="TableGrid"/>
        <w:tblpPr w:leftFromText="180" w:rightFromText="180" w:vertAnchor="text" w:horzAnchor="margin" w:tblpY="-704"/>
        <w:tblW w:w="9601" w:type="dxa"/>
        <w:tblLook w:val="04A0" w:firstRow="1" w:lastRow="0" w:firstColumn="1" w:lastColumn="0" w:noHBand="0" w:noVBand="1"/>
      </w:tblPr>
      <w:tblGrid>
        <w:gridCol w:w="1417"/>
        <w:gridCol w:w="1363"/>
        <w:gridCol w:w="1365"/>
        <w:gridCol w:w="1364"/>
        <w:gridCol w:w="1364"/>
        <w:gridCol w:w="1364"/>
        <w:gridCol w:w="1364"/>
      </w:tblGrid>
      <w:tr w:rsidR="00306F57" w:rsidRPr="00EA2123" w14:paraId="33174571" w14:textId="77777777" w:rsidTr="00306F57">
        <w:trPr>
          <w:trHeight w:val="406"/>
        </w:trPr>
        <w:tc>
          <w:tcPr>
            <w:tcW w:w="1417" w:type="dxa"/>
          </w:tcPr>
          <w:p w14:paraId="63A77989" w14:textId="77777777" w:rsidR="00306F57" w:rsidRPr="00EA2123" w:rsidRDefault="00306F57" w:rsidP="00F92D36">
            <w:pPr>
              <w:jc w:val="center"/>
              <w:rPr>
                <w:rFonts w:ascii="Times New Roman" w:hAnsi="Times New Roman" w:cs="Times New Roman"/>
                <w:sz w:val="24"/>
                <w:szCs w:val="24"/>
                <w:lang w:val="en-US"/>
              </w:rPr>
            </w:pPr>
          </w:p>
        </w:tc>
        <w:tc>
          <w:tcPr>
            <w:tcW w:w="2728" w:type="dxa"/>
            <w:gridSpan w:val="2"/>
          </w:tcPr>
          <w:p w14:paraId="2AEE7182"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728" w:type="dxa"/>
            <w:gridSpan w:val="2"/>
          </w:tcPr>
          <w:p w14:paraId="188561E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728" w:type="dxa"/>
            <w:gridSpan w:val="2"/>
          </w:tcPr>
          <w:p w14:paraId="500A381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r>
      <w:tr w:rsidR="00306F57" w:rsidRPr="00EA2123" w14:paraId="2679BA67" w14:textId="77777777" w:rsidTr="00306F57">
        <w:trPr>
          <w:trHeight w:val="383"/>
        </w:trPr>
        <w:tc>
          <w:tcPr>
            <w:tcW w:w="1417" w:type="dxa"/>
          </w:tcPr>
          <w:p w14:paraId="1ECFCD8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Model</w:t>
            </w:r>
          </w:p>
        </w:tc>
        <w:tc>
          <w:tcPr>
            <w:tcW w:w="1363" w:type="dxa"/>
          </w:tcPr>
          <w:p w14:paraId="250C86D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VAR(1)</w:t>
            </w:r>
          </w:p>
        </w:tc>
        <w:tc>
          <w:tcPr>
            <w:tcW w:w="1365" w:type="dxa"/>
          </w:tcPr>
          <w:p w14:paraId="6C9DB4ED"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7932EB98"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(0, 1, 2)</w:t>
            </w:r>
          </w:p>
        </w:tc>
        <w:tc>
          <w:tcPr>
            <w:tcW w:w="1364" w:type="dxa"/>
          </w:tcPr>
          <w:p w14:paraId="31851E08"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VAR(1)</w:t>
            </w:r>
          </w:p>
        </w:tc>
        <w:tc>
          <w:tcPr>
            <w:tcW w:w="1364" w:type="dxa"/>
          </w:tcPr>
          <w:p w14:paraId="5ADDDD7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0C85FFCA"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(1, 1, 1)</w:t>
            </w:r>
          </w:p>
        </w:tc>
        <w:tc>
          <w:tcPr>
            <w:tcW w:w="1364" w:type="dxa"/>
          </w:tcPr>
          <w:p w14:paraId="0BB2AEE5"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VAR(1)</w:t>
            </w:r>
          </w:p>
        </w:tc>
        <w:tc>
          <w:tcPr>
            <w:tcW w:w="1364" w:type="dxa"/>
          </w:tcPr>
          <w:p w14:paraId="60EC37BE"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612368D6"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(0,1,1)</w:t>
            </w:r>
          </w:p>
        </w:tc>
      </w:tr>
      <w:tr w:rsidR="00306F57" w:rsidRPr="00EA2123" w14:paraId="4420D87D" w14:textId="77777777" w:rsidTr="00306F57">
        <w:trPr>
          <w:trHeight w:val="406"/>
        </w:trPr>
        <w:tc>
          <w:tcPr>
            <w:tcW w:w="1417" w:type="dxa"/>
          </w:tcPr>
          <w:p w14:paraId="26F0C109"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7D2A31E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(whole data)</w:t>
            </w:r>
          </w:p>
        </w:tc>
        <w:tc>
          <w:tcPr>
            <w:tcW w:w="1363" w:type="dxa"/>
          </w:tcPr>
          <w:p w14:paraId="56C9A7F6" w14:textId="2021CD71"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.714</w:t>
            </w:r>
          </w:p>
        </w:tc>
        <w:tc>
          <w:tcPr>
            <w:tcW w:w="1365" w:type="dxa"/>
          </w:tcPr>
          <w:p w14:paraId="113D6D00"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0.71</w:t>
            </w:r>
          </w:p>
        </w:tc>
        <w:tc>
          <w:tcPr>
            <w:tcW w:w="1364" w:type="dxa"/>
          </w:tcPr>
          <w:p w14:paraId="7C8B4A4D" w14:textId="6A00C562"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.927</w:t>
            </w:r>
          </w:p>
        </w:tc>
        <w:tc>
          <w:tcPr>
            <w:tcW w:w="1364" w:type="dxa"/>
          </w:tcPr>
          <w:p w14:paraId="06AE59BF"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0.925</w:t>
            </w:r>
          </w:p>
        </w:tc>
        <w:tc>
          <w:tcPr>
            <w:tcW w:w="1364" w:type="dxa"/>
          </w:tcPr>
          <w:p w14:paraId="69B5ABE8" w14:textId="069AEFD8"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.865</w:t>
            </w:r>
          </w:p>
        </w:tc>
        <w:tc>
          <w:tcPr>
            <w:tcW w:w="1364" w:type="dxa"/>
          </w:tcPr>
          <w:p w14:paraId="7990D3F8" w14:textId="049A90C3" w:rsidR="00306F57" w:rsidRPr="00EA2123" w:rsidRDefault="00D01148"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w:t>
            </w:r>
            <w:r w:rsidR="004B19FE" w:rsidRPr="00EA2123">
              <w:rPr>
                <w:rFonts w:ascii="Times New Roman" w:hAnsi="Times New Roman" w:cs="Times New Roman"/>
                <w:sz w:val="24"/>
                <w:szCs w:val="24"/>
                <w:lang w:val="en-US"/>
              </w:rPr>
              <w:t>867</w:t>
            </w:r>
          </w:p>
        </w:tc>
      </w:tr>
      <w:tr w:rsidR="00306F57" w:rsidRPr="00EA2123" w14:paraId="5C773A39" w14:textId="77777777" w:rsidTr="00306F57">
        <w:trPr>
          <w:trHeight w:val="383"/>
        </w:trPr>
        <w:tc>
          <w:tcPr>
            <w:tcW w:w="1417" w:type="dxa"/>
          </w:tcPr>
          <w:p w14:paraId="3B1E15F1"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0C3C92EC"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(whole data)</w:t>
            </w:r>
          </w:p>
        </w:tc>
        <w:tc>
          <w:tcPr>
            <w:tcW w:w="1363" w:type="dxa"/>
          </w:tcPr>
          <w:p w14:paraId="0ADD2F72"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6271D55F"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1.9%</w:t>
            </w:r>
          </w:p>
        </w:tc>
        <w:tc>
          <w:tcPr>
            <w:tcW w:w="1364" w:type="dxa"/>
          </w:tcPr>
          <w:p w14:paraId="441376C0"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39BF8A67"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2.7%</w:t>
            </w:r>
          </w:p>
        </w:tc>
        <w:tc>
          <w:tcPr>
            <w:tcW w:w="1364" w:type="dxa"/>
          </w:tcPr>
          <w:p w14:paraId="042D656B"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5C985EBC" w14:textId="377CB268" w:rsidR="00306F57" w:rsidRPr="00EA2123" w:rsidRDefault="004B19FE"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2.8%</w:t>
            </w:r>
          </w:p>
        </w:tc>
      </w:tr>
      <w:tr w:rsidR="00306F57" w:rsidRPr="00EA2123" w14:paraId="36AED325" w14:textId="77777777" w:rsidTr="00306F57">
        <w:trPr>
          <w:trHeight w:val="406"/>
        </w:trPr>
        <w:tc>
          <w:tcPr>
            <w:tcW w:w="1417" w:type="dxa"/>
          </w:tcPr>
          <w:p w14:paraId="65017412"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03CECECE"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(last 10 observation)</w:t>
            </w:r>
          </w:p>
        </w:tc>
        <w:tc>
          <w:tcPr>
            <w:tcW w:w="1363" w:type="dxa"/>
          </w:tcPr>
          <w:p w14:paraId="2FE05668"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4C5F95A5"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0.651</w:t>
            </w:r>
          </w:p>
        </w:tc>
        <w:tc>
          <w:tcPr>
            <w:tcW w:w="1364" w:type="dxa"/>
          </w:tcPr>
          <w:p w14:paraId="09FCA7D2"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3CBEE4B4"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0.489</w:t>
            </w:r>
          </w:p>
        </w:tc>
        <w:tc>
          <w:tcPr>
            <w:tcW w:w="1364" w:type="dxa"/>
          </w:tcPr>
          <w:p w14:paraId="025896D3"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1B9ED06E" w14:textId="77712576" w:rsidR="00306F57" w:rsidRPr="00EA2123" w:rsidRDefault="00F92D36"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0.3</w:t>
            </w:r>
          </w:p>
        </w:tc>
      </w:tr>
      <w:tr w:rsidR="00306F57" w:rsidRPr="00EA2123" w14:paraId="6D8403AF" w14:textId="77777777" w:rsidTr="00306F57">
        <w:trPr>
          <w:trHeight w:val="406"/>
        </w:trPr>
        <w:tc>
          <w:tcPr>
            <w:tcW w:w="1417" w:type="dxa"/>
          </w:tcPr>
          <w:p w14:paraId="6BE71259"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1AB7CD5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(last 10 observation)</w:t>
            </w:r>
          </w:p>
        </w:tc>
        <w:tc>
          <w:tcPr>
            <w:tcW w:w="1363" w:type="dxa"/>
          </w:tcPr>
          <w:p w14:paraId="184DDAA0"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7DC8F94C"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2.6%</w:t>
            </w:r>
          </w:p>
        </w:tc>
        <w:tc>
          <w:tcPr>
            <w:tcW w:w="1364" w:type="dxa"/>
          </w:tcPr>
          <w:p w14:paraId="2210DC43"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7BDEAF5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3.3%</w:t>
            </w:r>
          </w:p>
        </w:tc>
        <w:tc>
          <w:tcPr>
            <w:tcW w:w="1364" w:type="dxa"/>
          </w:tcPr>
          <w:p w14:paraId="28FA3F07"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2350CAE2" w14:textId="1C707E5C" w:rsidR="00306F57" w:rsidRPr="00EA2123" w:rsidRDefault="00F92D36"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1.7%</w:t>
            </w:r>
          </w:p>
        </w:tc>
      </w:tr>
      <w:tr w:rsidR="00306F57" w:rsidRPr="00EA2123" w14:paraId="46AB8E23" w14:textId="77777777" w:rsidTr="00306F57">
        <w:trPr>
          <w:trHeight w:val="406"/>
        </w:trPr>
        <w:tc>
          <w:tcPr>
            <w:tcW w:w="1417" w:type="dxa"/>
          </w:tcPr>
          <w:p w14:paraId="7C8E4AA1"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79D1FEA4"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(first 10 days of 2023)</w:t>
            </w:r>
          </w:p>
        </w:tc>
        <w:tc>
          <w:tcPr>
            <w:tcW w:w="1363" w:type="dxa"/>
          </w:tcPr>
          <w:p w14:paraId="0822D90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1.865</w:t>
            </w:r>
          </w:p>
        </w:tc>
        <w:tc>
          <w:tcPr>
            <w:tcW w:w="1365" w:type="dxa"/>
          </w:tcPr>
          <w:p w14:paraId="3BECE0B2"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1.795</w:t>
            </w:r>
          </w:p>
        </w:tc>
        <w:tc>
          <w:tcPr>
            <w:tcW w:w="1364" w:type="dxa"/>
          </w:tcPr>
          <w:p w14:paraId="0974EFDF"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1.38</w:t>
            </w:r>
          </w:p>
        </w:tc>
        <w:tc>
          <w:tcPr>
            <w:tcW w:w="1364" w:type="dxa"/>
          </w:tcPr>
          <w:p w14:paraId="6623045E"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1.379</w:t>
            </w:r>
          </w:p>
        </w:tc>
        <w:tc>
          <w:tcPr>
            <w:tcW w:w="1364" w:type="dxa"/>
          </w:tcPr>
          <w:p w14:paraId="686B797D"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1.49</w:t>
            </w:r>
          </w:p>
        </w:tc>
        <w:tc>
          <w:tcPr>
            <w:tcW w:w="1364" w:type="dxa"/>
          </w:tcPr>
          <w:p w14:paraId="7E20AD76" w14:textId="7CFBCCFC" w:rsidR="00306F57" w:rsidRPr="00EA2123" w:rsidRDefault="009F17CE"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w:t>
            </w:r>
            <w:r w:rsidR="00BA65C2" w:rsidRPr="00EA2123">
              <w:rPr>
                <w:rFonts w:ascii="Times New Roman" w:hAnsi="Times New Roman" w:cs="Times New Roman"/>
                <w:sz w:val="24"/>
                <w:szCs w:val="24"/>
                <w:lang w:val="en-US"/>
              </w:rPr>
              <w:t>83</w:t>
            </w:r>
          </w:p>
        </w:tc>
      </w:tr>
      <w:tr w:rsidR="00306F57" w:rsidRPr="00EA2123" w14:paraId="497F07D8" w14:textId="77777777" w:rsidTr="00306F57">
        <w:trPr>
          <w:trHeight w:val="406"/>
        </w:trPr>
        <w:tc>
          <w:tcPr>
            <w:tcW w:w="1417" w:type="dxa"/>
          </w:tcPr>
          <w:p w14:paraId="3E78C1BC"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39AD2E2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(first 10 days of 2023)</w:t>
            </w:r>
          </w:p>
        </w:tc>
        <w:tc>
          <w:tcPr>
            <w:tcW w:w="1363" w:type="dxa"/>
          </w:tcPr>
          <w:p w14:paraId="43D05460"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10.2%</w:t>
            </w:r>
          </w:p>
        </w:tc>
        <w:tc>
          <w:tcPr>
            <w:tcW w:w="1365" w:type="dxa"/>
          </w:tcPr>
          <w:p w14:paraId="2A41C84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8.9%</w:t>
            </w:r>
          </w:p>
        </w:tc>
        <w:tc>
          <w:tcPr>
            <w:tcW w:w="1364" w:type="dxa"/>
          </w:tcPr>
          <w:p w14:paraId="38AD511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11.2%</w:t>
            </w:r>
          </w:p>
        </w:tc>
        <w:tc>
          <w:tcPr>
            <w:tcW w:w="1364" w:type="dxa"/>
          </w:tcPr>
          <w:p w14:paraId="6C0CBE83"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9.86%</w:t>
            </w:r>
          </w:p>
        </w:tc>
        <w:tc>
          <w:tcPr>
            <w:tcW w:w="1364" w:type="dxa"/>
          </w:tcPr>
          <w:p w14:paraId="3FF59BA7" w14:textId="77777777" w:rsidR="00306F57" w:rsidRPr="00EA2123" w:rsidRDefault="00306F57" w:rsidP="00F92D36">
            <w:pPr>
              <w:pStyle w:val="HTMLPreformatted"/>
              <w:shd w:val="clear" w:color="auto" w:fill="FFFFFF"/>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11.5%</w:t>
            </w:r>
          </w:p>
        </w:tc>
        <w:tc>
          <w:tcPr>
            <w:tcW w:w="1364" w:type="dxa"/>
          </w:tcPr>
          <w:p w14:paraId="4C613D71" w14:textId="32E71787" w:rsidR="00306F57" w:rsidRPr="00EA2123" w:rsidRDefault="00167A73"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17.8</w:t>
            </w:r>
            <w:r w:rsidR="00521938" w:rsidRPr="00EA2123">
              <w:rPr>
                <w:rFonts w:ascii="Times New Roman" w:hAnsi="Times New Roman" w:cs="Times New Roman"/>
                <w:sz w:val="24"/>
                <w:szCs w:val="24"/>
                <w:lang w:val="en-US"/>
              </w:rPr>
              <w:t>%</w:t>
            </w:r>
          </w:p>
        </w:tc>
      </w:tr>
    </w:tbl>
    <w:p w14:paraId="42F93C5A" w14:textId="3DC5F13B" w:rsidR="003F2501" w:rsidRPr="00EA2123" w:rsidRDefault="003F2501" w:rsidP="000859DC">
      <w:pPr>
        <w:rPr>
          <w:sz w:val="24"/>
          <w:szCs w:val="24"/>
          <w:lang w:val="en-US"/>
        </w:rPr>
      </w:pPr>
    </w:p>
    <w:p w14:paraId="66C8FEDA" w14:textId="7F3A8294" w:rsidR="00306F57" w:rsidRPr="00EA2123" w:rsidRDefault="00CE7437" w:rsidP="000859DC">
      <w:pPr>
        <w:rPr>
          <w:sz w:val="24"/>
          <w:szCs w:val="24"/>
          <w:lang w:val="en-US"/>
        </w:rPr>
      </w:pPr>
      <w:r>
        <w:rPr>
          <w:sz w:val="24"/>
          <w:szCs w:val="24"/>
          <w:lang w:val="en-US"/>
        </w:rPr>
        <w:t>Overall</w:t>
      </w:r>
      <w:r w:rsidR="00BC05CD">
        <w:rPr>
          <w:sz w:val="24"/>
          <w:szCs w:val="24"/>
          <w:lang w:val="en-US"/>
        </w:rPr>
        <w:t>, the VAR(1) model gives a decent</w:t>
      </w:r>
      <w:r w:rsidR="00B66695">
        <w:rPr>
          <w:sz w:val="24"/>
          <w:szCs w:val="24"/>
          <w:lang w:val="en-US"/>
        </w:rPr>
        <w:t xml:space="preserve"> forecast </w:t>
      </w:r>
      <w:r w:rsidR="003A5A45">
        <w:rPr>
          <w:sz w:val="24"/>
          <w:szCs w:val="24"/>
          <w:lang w:val="en-US"/>
        </w:rPr>
        <w:t>on the stock prices</w:t>
      </w:r>
      <w:r w:rsidR="00D86D4D">
        <w:rPr>
          <w:sz w:val="24"/>
          <w:szCs w:val="24"/>
          <w:lang w:val="en-US"/>
        </w:rPr>
        <w:t xml:space="preserve"> as RMSE on the</w:t>
      </w:r>
      <w:r w:rsidR="005B2F1C">
        <w:rPr>
          <w:sz w:val="24"/>
          <w:szCs w:val="24"/>
          <w:lang w:val="en-US"/>
        </w:rPr>
        <w:t xml:space="preserve"> forecast for the</w:t>
      </w:r>
      <w:r w:rsidR="00D86D4D">
        <w:rPr>
          <w:sz w:val="24"/>
          <w:szCs w:val="24"/>
          <w:lang w:val="en-US"/>
        </w:rPr>
        <w:t xml:space="preserve"> </w:t>
      </w:r>
      <w:r w:rsidR="005B2F1C">
        <w:rPr>
          <w:sz w:val="24"/>
          <w:szCs w:val="24"/>
          <w:lang w:val="en-US"/>
        </w:rPr>
        <w:t>first 10 days of 2023</w:t>
      </w:r>
      <w:r w:rsidR="00062AE5">
        <w:rPr>
          <w:sz w:val="24"/>
          <w:szCs w:val="24"/>
          <w:lang w:val="en-US"/>
        </w:rPr>
        <w:t xml:space="preserve"> is relatively low</w:t>
      </w:r>
      <w:r w:rsidR="003A5A45">
        <w:rPr>
          <w:sz w:val="24"/>
          <w:szCs w:val="24"/>
          <w:lang w:val="en-US"/>
        </w:rPr>
        <w:t xml:space="preserve">, </w:t>
      </w:r>
      <w:r w:rsidR="00D86D4D">
        <w:rPr>
          <w:sz w:val="24"/>
          <w:szCs w:val="24"/>
          <w:lang w:val="en-US"/>
        </w:rPr>
        <w:t xml:space="preserve">however, </w:t>
      </w:r>
      <w:r w:rsidR="005B2F1C">
        <w:rPr>
          <w:sz w:val="24"/>
          <w:szCs w:val="24"/>
          <w:lang w:val="en-US"/>
        </w:rPr>
        <w:t>ARIMA models</w:t>
      </w:r>
      <w:r w:rsidR="00D86945">
        <w:rPr>
          <w:sz w:val="24"/>
          <w:szCs w:val="24"/>
          <w:lang w:val="en-US"/>
        </w:rPr>
        <w:t xml:space="preserve">’ forecast is still more accurate. </w:t>
      </w:r>
      <w:r w:rsidR="003407E2">
        <w:rPr>
          <w:sz w:val="24"/>
          <w:szCs w:val="24"/>
          <w:lang w:val="en-US"/>
        </w:rPr>
        <w:t>Moreover, the VAR(1) suffers from serial correlation in the residuals, which makes the forecast</w:t>
      </w:r>
      <w:r w:rsidR="00D86D4D">
        <w:rPr>
          <w:sz w:val="24"/>
          <w:szCs w:val="24"/>
          <w:lang w:val="en-US"/>
        </w:rPr>
        <w:t xml:space="preserve"> </w:t>
      </w:r>
      <w:r w:rsidR="008E153E">
        <w:rPr>
          <w:sz w:val="24"/>
          <w:szCs w:val="24"/>
          <w:lang w:val="en-US"/>
        </w:rPr>
        <w:t>less reliable</w:t>
      </w:r>
      <w:r w:rsidR="00BB0338">
        <w:rPr>
          <w:sz w:val="24"/>
          <w:szCs w:val="24"/>
          <w:lang w:val="en-US"/>
        </w:rPr>
        <w:t>.</w:t>
      </w:r>
    </w:p>
    <w:sectPr w:rsidR="00306F57" w:rsidRPr="00EA21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6091"/>
    <w:multiLevelType w:val="hybridMultilevel"/>
    <w:tmpl w:val="30BCFA38"/>
    <w:lvl w:ilvl="0" w:tplc="95CAEA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726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DC"/>
    <w:rsid w:val="0000513E"/>
    <w:rsid w:val="00011536"/>
    <w:rsid w:val="00011A7C"/>
    <w:rsid w:val="00016B54"/>
    <w:rsid w:val="000200E0"/>
    <w:rsid w:val="0003715B"/>
    <w:rsid w:val="00037283"/>
    <w:rsid w:val="00062AE5"/>
    <w:rsid w:val="00082058"/>
    <w:rsid w:val="00084BB5"/>
    <w:rsid w:val="000859DC"/>
    <w:rsid w:val="00095566"/>
    <w:rsid w:val="000A4BFF"/>
    <w:rsid w:val="000B3F3E"/>
    <w:rsid w:val="000C4127"/>
    <w:rsid w:val="000D1468"/>
    <w:rsid w:val="000D5789"/>
    <w:rsid w:val="000D79B6"/>
    <w:rsid w:val="0011461A"/>
    <w:rsid w:val="001341B3"/>
    <w:rsid w:val="0014316C"/>
    <w:rsid w:val="00147649"/>
    <w:rsid w:val="00150BC8"/>
    <w:rsid w:val="00156DF5"/>
    <w:rsid w:val="001616CF"/>
    <w:rsid w:val="00167A73"/>
    <w:rsid w:val="0018233B"/>
    <w:rsid w:val="0018308C"/>
    <w:rsid w:val="001954F0"/>
    <w:rsid w:val="001A56DC"/>
    <w:rsid w:val="001B5218"/>
    <w:rsid w:val="001B7BF2"/>
    <w:rsid w:val="001C295D"/>
    <w:rsid w:val="002139F3"/>
    <w:rsid w:val="00222F5C"/>
    <w:rsid w:val="00234ACE"/>
    <w:rsid w:val="00243AFE"/>
    <w:rsid w:val="00252828"/>
    <w:rsid w:val="00264867"/>
    <w:rsid w:val="0026504E"/>
    <w:rsid w:val="00267048"/>
    <w:rsid w:val="00283C9B"/>
    <w:rsid w:val="00296571"/>
    <w:rsid w:val="002A53F4"/>
    <w:rsid w:val="002C06C3"/>
    <w:rsid w:val="002C0F66"/>
    <w:rsid w:val="002C4210"/>
    <w:rsid w:val="002C6558"/>
    <w:rsid w:val="00301322"/>
    <w:rsid w:val="00306F57"/>
    <w:rsid w:val="003407E2"/>
    <w:rsid w:val="00350847"/>
    <w:rsid w:val="0036640B"/>
    <w:rsid w:val="00370656"/>
    <w:rsid w:val="00370F47"/>
    <w:rsid w:val="00382B67"/>
    <w:rsid w:val="00384669"/>
    <w:rsid w:val="003A5A45"/>
    <w:rsid w:val="003A5F22"/>
    <w:rsid w:val="003C2D66"/>
    <w:rsid w:val="003C5BD0"/>
    <w:rsid w:val="003D2E4A"/>
    <w:rsid w:val="003D55BB"/>
    <w:rsid w:val="003E34BC"/>
    <w:rsid w:val="003F0F23"/>
    <w:rsid w:val="003F2501"/>
    <w:rsid w:val="0040660F"/>
    <w:rsid w:val="0042536D"/>
    <w:rsid w:val="00434DA4"/>
    <w:rsid w:val="004666D0"/>
    <w:rsid w:val="00485C8E"/>
    <w:rsid w:val="004972DB"/>
    <w:rsid w:val="004B19FE"/>
    <w:rsid w:val="004B1B30"/>
    <w:rsid w:val="004D3E15"/>
    <w:rsid w:val="004E79DD"/>
    <w:rsid w:val="00503F84"/>
    <w:rsid w:val="00511B34"/>
    <w:rsid w:val="00516AAE"/>
    <w:rsid w:val="00521938"/>
    <w:rsid w:val="005338DF"/>
    <w:rsid w:val="0053756B"/>
    <w:rsid w:val="00561582"/>
    <w:rsid w:val="00570973"/>
    <w:rsid w:val="0057355B"/>
    <w:rsid w:val="00582488"/>
    <w:rsid w:val="00582AEE"/>
    <w:rsid w:val="00585D23"/>
    <w:rsid w:val="005877CD"/>
    <w:rsid w:val="005A5F0E"/>
    <w:rsid w:val="005A7D5C"/>
    <w:rsid w:val="005B2F1C"/>
    <w:rsid w:val="005B740B"/>
    <w:rsid w:val="005C31F7"/>
    <w:rsid w:val="005C5147"/>
    <w:rsid w:val="005C538F"/>
    <w:rsid w:val="005C59F5"/>
    <w:rsid w:val="005D5E1A"/>
    <w:rsid w:val="005E2302"/>
    <w:rsid w:val="00600829"/>
    <w:rsid w:val="00601BA8"/>
    <w:rsid w:val="00614A3F"/>
    <w:rsid w:val="00622CDC"/>
    <w:rsid w:val="00654D4A"/>
    <w:rsid w:val="006646F0"/>
    <w:rsid w:val="00667056"/>
    <w:rsid w:val="0068038B"/>
    <w:rsid w:val="006B7BD1"/>
    <w:rsid w:val="006C0699"/>
    <w:rsid w:val="006C196A"/>
    <w:rsid w:val="006E3A1B"/>
    <w:rsid w:val="006E571D"/>
    <w:rsid w:val="006F69AA"/>
    <w:rsid w:val="0071079A"/>
    <w:rsid w:val="00712215"/>
    <w:rsid w:val="007729B1"/>
    <w:rsid w:val="007869CE"/>
    <w:rsid w:val="00791E76"/>
    <w:rsid w:val="007A3E1E"/>
    <w:rsid w:val="007C65B2"/>
    <w:rsid w:val="00820D23"/>
    <w:rsid w:val="00886D88"/>
    <w:rsid w:val="008B3457"/>
    <w:rsid w:val="008C5DAE"/>
    <w:rsid w:val="008D65B9"/>
    <w:rsid w:val="008D701B"/>
    <w:rsid w:val="008E120A"/>
    <w:rsid w:val="008E153E"/>
    <w:rsid w:val="008E3E5C"/>
    <w:rsid w:val="008E4EAB"/>
    <w:rsid w:val="00904EBE"/>
    <w:rsid w:val="0092222A"/>
    <w:rsid w:val="00922994"/>
    <w:rsid w:val="00927A8D"/>
    <w:rsid w:val="00936AFD"/>
    <w:rsid w:val="00942342"/>
    <w:rsid w:val="0099591A"/>
    <w:rsid w:val="009A1C92"/>
    <w:rsid w:val="009A4E52"/>
    <w:rsid w:val="009C676B"/>
    <w:rsid w:val="009D45DC"/>
    <w:rsid w:val="009E6F10"/>
    <w:rsid w:val="009E7753"/>
    <w:rsid w:val="009F17CE"/>
    <w:rsid w:val="00A220AF"/>
    <w:rsid w:val="00A25AE8"/>
    <w:rsid w:val="00A34566"/>
    <w:rsid w:val="00A545A3"/>
    <w:rsid w:val="00A60660"/>
    <w:rsid w:val="00A70927"/>
    <w:rsid w:val="00AE17D2"/>
    <w:rsid w:val="00AE3D60"/>
    <w:rsid w:val="00AE71A7"/>
    <w:rsid w:val="00B576FE"/>
    <w:rsid w:val="00B66695"/>
    <w:rsid w:val="00BA1C4D"/>
    <w:rsid w:val="00BA65C2"/>
    <w:rsid w:val="00BB0338"/>
    <w:rsid w:val="00BB5181"/>
    <w:rsid w:val="00BC05CD"/>
    <w:rsid w:val="00BE279F"/>
    <w:rsid w:val="00BE4B52"/>
    <w:rsid w:val="00BF22FD"/>
    <w:rsid w:val="00BF3FF8"/>
    <w:rsid w:val="00BF51A2"/>
    <w:rsid w:val="00BF7C6A"/>
    <w:rsid w:val="00C0207B"/>
    <w:rsid w:val="00C24303"/>
    <w:rsid w:val="00C33E52"/>
    <w:rsid w:val="00C366FC"/>
    <w:rsid w:val="00C62CBB"/>
    <w:rsid w:val="00C62FB5"/>
    <w:rsid w:val="00C63D10"/>
    <w:rsid w:val="00C95006"/>
    <w:rsid w:val="00CD27F0"/>
    <w:rsid w:val="00CD53DF"/>
    <w:rsid w:val="00CE7437"/>
    <w:rsid w:val="00D01148"/>
    <w:rsid w:val="00D275E1"/>
    <w:rsid w:val="00D44F45"/>
    <w:rsid w:val="00D554BC"/>
    <w:rsid w:val="00D76F07"/>
    <w:rsid w:val="00D86945"/>
    <w:rsid w:val="00D86D4D"/>
    <w:rsid w:val="00DA5D94"/>
    <w:rsid w:val="00DA7CC7"/>
    <w:rsid w:val="00DB008E"/>
    <w:rsid w:val="00DB13E5"/>
    <w:rsid w:val="00DD6A3F"/>
    <w:rsid w:val="00DD6E65"/>
    <w:rsid w:val="00DD7A89"/>
    <w:rsid w:val="00DE22E2"/>
    <w:rsid w:val="00DF102B"/>
    <w:rsid w:val="00DF631C"/>
    <w:rsid w:val="00E03F98"/>
    <w:rsid w:val="00E25906"/>
    <w:rsid w:val="00E61CB0"/>
    <w:rsid w:val="00E6372E"/>
    <w:rsid w:val="00E82CA6"/>
    <w:rsid w:val="00EA2123"/>
    <w:rsid w:val="00EB342B"/>
    <w:rsid w:val="00EC06D9"/>
    <w:rsid w:val="00EC0DEF"/>
    <w:rsid w:val="00EC5A21"/>
    <w:rsid w:val="00EC728A"/>
    <w:rsid w:val="00EE2221"/>
    <w:rsid w:val="00F27473"/>
    <w:rsid w:val="00F470F4"/>
    <w:rsid w:val="00F80D27"/>
    <w:rsid w:val="00F92D36"/>
    <w:rsid w:val="00F96CF1"/>
    <w:rsid w:val="00FB608D"/>
    <w:rsid w:val="00FD0F5D"/>
    <w:rsid w:val="00FD1468"/>
    <w:rsid w:val="00FD42BB"/>
    <w:rsid w:val="00FE0CB4"/>
    <w:rsid w:val="00FE6147"/>
    <w:rsid w:val="00FF5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3482"/>
  <w15:chartTrackingRefBased/>
  <w15:docId w15:val="{26F56060-93F6-4BF0-9603-D69B759C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DC"/>
    <w:pPr>
      <w:ind w:left="720"/>
      <w:contextualSpacing/>
    </w:pPr>
  </w:style>
  <w:style w:type="paragraph" w:styleId="HTMLPreformatted">
    <w:name w:val="HTML Preformatted"/>
    <w:basedOn w:val="Normal"/>
    <w:link w:val="HTMLPreformattedChar"/>
    <w:uiPriority w:val="99"/>
    <w:semiHidden/>
    <w:unhideWhenUsed/>
    <w:rsid w:val="0036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640B"/>
    <w:rPr>
      <w:rFonts w:ascii="Courier New" w:eastAsia="Times New Roman" w:hAnsi="Courier New" w:cs="Courier New"/>
      <w:sz w:val="20"/>
      <w:szCs w:val="20"/>
      <w:lang w:eastAsia="en-GB"/>
    </w:rPr>
  </w:style>
  <w:style w:type="table" w:styleId="TableGrid">
    <w:name w:val="Table Grid"/>
    <w:basedOn w:val="TableNormal"/>
    <w:uiPriority w:val="39"/>
    <w:rsid w:val="00366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295D"/>
    <w:rPr>
      <w:color w:val="808080"/>
    </w:rPr>
  </w:style>
  <w:style w:type="paragraph" w:styleId="Caption">
    <w:name w:val="caption"/>
    <w:basedOn w:val="Normal"/>
    <w:next w:val="Normal"/>
    <w:uiPriority w:val="35"/>
    <w:unhideWhenUsed/>
    <w:qFormat/>
    <w:rsid w:val="006C06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40746">
      <w:bodyDiv w:val="1"/>
      <w:marLeft w:val="0"/>
      <w:marRight w:val="0"/>
      <w:marTop w:val="0"/>
      <w:marBottom w:val="0"/>
      <w:divBdr>
        <w:top w:val="none" w:sz="0" w:space="0" w:color="auto"/>
        <w:left w:val="none" w:sz="0" w:space="0" w:color="auto"/>
        <w:bottom w:val="none" w:sz="0" w:space="0" w:color="auto"/>
        <w:right w:val="none" w:sz="0" w:space="0" w:color="auto"/>
      </w:divBdr>
    </w:div>
    <w:div w:id="416365424">
      <w:bodyDiv w:val="1"/>
      <w:marLeft w:val="0"/>
      <w:marRight w:val="0"/>
      <w:marTop w:val="0"/>
      <w:marBottom w:val="0"/>
      <w:divBdr>
        <w:top w:val="none" w:sz="0" w:space="0" w:color="auto"/>
        <w:left w:val="none" w:sz="0" w:space="0" w:color="auto"/>
        <w:bottom w:val="none" w:sz="0" w:space="0" w:color="auto"/>
        <w:right w:val="none" w:sz="0" w:space="0" w:color="auto"/>
      </w:divBdr>
    </w:div>
    <w:div w:id="430667356">
      <w:bodyDiv w:val="1"/>
      <w:marLeft w:val="0"/>
      <w:marRight w:val="0"/>
      <w:marTop w:val="0"/>
      <w:marBottom w:val="0"/>
      <w:divBdr>
        <w:top w:val="none" w:sz="0" w:space="0" w:color="auto"/>
        <w:left w:val="none" w:sz="0" w:space="0" w:color="auto"/>
        <w:bottom w:val="none" w:sz="0" w:space="0" w:color="auto"/>
        <w:right w:val="none" w:sz="0" w:space="0" w:color="auto"/>
      </w:divBdr>
    </w:div>
    <w:div w:id="611744579">
      <w:bodyDiv w:val="1"/>
      <w:marLeft w:val="0"/>
      <w:marRight w:val="0"/>
      <w:marTop w:val="0"/>
      <w:marBottom w:val="0"/>
      <w:divBdr>
        <w:top w:val="none" w:sz="0" w:space="0" w:color="auto"/>
        <w:left w:val="none" w:sz="0" w:space="0" w:color="auto"/>
        <w:bottom w:val="none" w:sz="0" w:space="0" w:color="auto"/>
        <w:right w:val="none" w:sz="0" w:space="0" w:color="auto"/>
      </w:divBdr>
    </w:div>
    <w:div w:id="699086512">
      <w:bodyDiv w:val="1"/>
      <w:marLeft w:val="0"/>
      <w:marRight w:val="0"/>
      <w:marTop w:val="0"/>
      <w:marBottom w:val="0"/>
      <w:divBdr>
        <w:top w:val="none" w:sz="0" w:space="0" w:color="auto"/>
        <w:left w:val="none" w:sz="0" w:space="0" w:color="auto"/>
        <w:bottom w:val="none" w:sz="0" w:space="0" w:color="auto"/>
        <w:right w:val="none" w:sz="0" w:space="0" w:color="auto"/>
      </w:divBdr>
    </w:div>
    <w:div w:id="945574195">
      <w:bodyDiv w:val="1"/>
      <w:marLeft w:val="0"/>
      <w:marRight w:val="0"/>
      <w:marTop w:val="0"/>
      <w:marBottom w:val="0"/>
      <w:divBdr>
        <w:top w:val="none" w:sz="0" w:space="0" w:color="auto"/>
        <w:left w:val="none" w:sz="0" w:space="0" w:color="auto"/>
        <w:bottom w:val="none" w:sz="0" w:space="0" w:color="auto"/>
        <w:right w:val="none" w:sz="0" w:space="0" w:color="auto"/>
      </w:divBdr>
    </w:div>
    <w:div w:id="1056588964">
      <w:bodyDiv w:val="1"/>
      <w:marLeft w:val="0"/>
      <w:marRight w:val="0"/>
      <w:marTop w:val="0"/>
      <w:marBottom w:val="0"/>
      <w:divBdr>
        <w:top w:val="none" w:sz="0" w:space="0" w:color="auto"/>
        <w:left w:val="none" w:sz="0" w:space="0" w:color="auto"/>
        <w:bottom w:val="none" w:sz="0" w:space="0" w:color="auto"/>
        <w:right w:val="none" w:sz="0" w:space="0" w:color="auto"/>
      </w:divBdr>
    </w:div>
    <w:div w:id="1672488955">
      <w:bodyDiv w:val="1"/>
      <w:marLeft w:val="0"/>
      <w:marRight w:val="0"/>
      <w:marTop w:val="0"/>
      <w:marBottom w:val="0"/>
      <w:divBdr>
        <w:top w:val="none" w:sz="0" w:space="0" w:color="auto"/>
        <w:left w:val="none" w:sz="0" w:space="0" w:color="auto"/>
        <w:bottom w:val="none" w:sz="0" w:space="0" w:color="auto"/>
        <w:right w:val="none" w:sz="0" w:space="0" w:color="auto"/>
      </w:divBdr>
    </w:div>
    <w:div w:id="176488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F9EF4947020449AB430069B66746EC" ma:contentTypeVersion="9" ma:contentTypeDescription="Create a new document." ma:contentTypeScope="" ma:versionID="4a3079598480dc8592e89b57021bc23d">
  <xsd:schema xmlns:xsd="http://www.w3.org/2001/XMLSchema" xmlns:xs="http://www.w3.org/2001/XMLSchema" xmlns:p="http://schemas.microsoft.com/office/2006/metadata/properties" xmlns:ns3="928ed85d-a3aa-46c6-9c31-6d389f29c180" xmlns:ns4="c44dedd1-3cf9-4f0d-85cd-8270905e7a3e" targetNamespace="http://schemas.microsoft.com/office/2006/metadata/properties" ma:root="true" ma:fieldsID="46dba03de159d09406b409df52a0fe2a" ns3:_="" ns4:_="">
    <xsd:import namespace="928ed85d-a3aa-46c6-9c31-6d389f29c180"/>
    <xsd:import namespace="c44dedd1-3cf9-4f0d-85cd-8270905e7a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d85d-a3aa-46c6-9c31-6d389f29c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4dedd1-3cf9-4f0d-85cd-8270905e7a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28ed85d-a3aa-46c6-9c31-6d389f29c180" xsi:nil="true"/>
  </documentManagement>
</p:properties>
</file>

<file path=customXml/itemProps1.xml><?xml version="1.0" encoding="utf-8"?>
<ds:datastoreItem xmlns:ds="http://schemas.openxmlformats.org/officeDocument/2006/customXml" ds:itemID="{E6D3B8B2-4C92-4EFB-A1B0-4C9E7E62D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d85d-a3aa-46c6-9c31-6d389f29c180"/>
    <ds:schemaRef ds:uri="c44dedd1-3cf9-4f0d-85cd-8270905e7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9A8D6-99E1-4937-8FB7-B1A9A32410C1}">
  <ds:schemaRefs>
    <ds:schemaRef ds:uri="http://schemas.microsoft.com/sharepoint/v3/contenttype/forms"/>
  </ds:schemaRefs>
</ds:datastoreItem>
</file>

<file path=customXml/itemProps3.xml><?xml version="1.0" encoding="utf-8"?>
<ds:datastoreItem xmlns:ds="http://schemas.openxmlformats.org/officeDocument/2006/customXml" ds:itemID="{0799F891-86FB-4E1F-9B66-153E1E2CC7AB}">
  <ds:schemaRefs>
    <ds:schemaRef ds:uri="http://schemas.microsoft.com/office/2006/metadata/properties"/>
    <ds:schemaRef ds:uri="http://schemas.microsoft.com/office/infopath/2007/PartnerControls"/>
    <ds:schemaRef ds:uri="928ed85d-a3aa-46c6-9c31-6d389f29c180"/>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Duy</dc:creator>
  <cp:keywords/>
  <dc:description/>
  <cp:lastModifiedBy>Le Phong</cp:lastModifiedBy>
  <cp:revision>5</cp:revision>
  <dcterms:created xsi:type="dcterms:W3CDTF">2023-04-03T15:03:00Z</dcterms:created>
  <dcterms:modified xsi:type="dcterms:W3CDTF">2023-04-04T08:02:00Z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